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100"/>
        <w:ind w:left="496" w:right="667"/>
        <w:jc w:val="center"/>
      </w:pPr>
      <w:r>
        <w:rPr/>
        <w:t>Caracterización</w:t>
      </w:r>
      <w:r>
        <w:rPr>
          <w:spacing w:val="-5"/>
        </w:rPr>
        <w:t> </w:t>
      </w:r>
      <w:r>
        <w:rPr/>
        <w:t>epidemiológica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Leucemia</w:t>
      </w:r>
      <w:r>
        <w:rPr>
          <w:spacing w:val="-3"/>
        </w:rPr>
        <w:t> </w:t>
      </w:r>
      <w:r>
        <w:rPr/>
        <w:t>Linfoide</w:t>
      </w:r>
      <w:r>
        <w:rPr>
          <w:spacing w:val="-1"/>
        </w:rPr>
        <w:t> </w:t>
      </w:r>
      <w:r>
        <w:rPr/>
        <w:t>Aguda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57"/>
        </w:rPr>
        <w:t> </w:t>
      </w:r>
      <w:r>
        <w:rPr/>
        <w:t>atendida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FOSCAL, 2013</w:t>
      </w:r>
      <w:r>
        <w:rPr>
          <w:spacing w:val="1"/>
        </w:rPr>
        <w:t> </w:t>
      </w:r>
      <w:r>
        <w:rPr/>
        <w:t>– 2020</w:t>
      </w:r>
      <w:r>
        <w:rPr>
          <w:spacing w:val="-1"/>
        </w:rPr>
        <w:t> </w:t>
      </w:r>
      <w:r>
        <w:rPr/>
        <w:t>y su</w:t>
      </w:r>
      <w:r>
        <w:rPr>
          <w:spacing w:val="-2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cuatrienios.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08"/>
        <w:ind w:left="496" w:right="658"/>
        <w:jc w:val="center"/>
      </w:pPr>
      <w:r>
        <w:rPr/>
        <w:t>Para</w:t>
      </w:r>
      <w:r>
        <w:rPr>
          <w:spacing w:val="-1"/>
        </w:rPr>
        <w:t> </w:t>
      </w:r>
      <w:r>
        <w:rPr/>
        <w:t>optar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</w:p>
    <w:p>
      <w:pPr>
        <w:pStyle w:val="BodyText"/>
      </w:pPr>
    </w:p>
    <w:p>
      <w:pPr>
        <w:pStyle w:val="Heading1"/>
        <w:ind w:left="496" w:right="662"/>
        <w:jc w:val="center"/>
      </w:pPr>
      <w:r>
        <w:rPr/>
        <w:t>Especialista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Medicina</w:t>
      </w:r>
      <w:r>
        <w:rPr>
          <w:spacing w:val="-2"/>
        </w:rPr>
        <w:t> </w:t>
      </w:r>
      <w:r>
        <w:rPr/>
        <w:t>Interna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85"/>
        <w:ind w:left="496" w:right="656"/>
        <w:jc w:val="center"/>
      </w:pPr>
      <w:r>
        <w:rPr/>
        <w:t>Presentado</w:t>
      </w:r>
      <w:r>
        <w:rPr>
          <w:spacing w:val="-1"/>
        </w:rPr>
        <w:t> </w:t>
      </w:r>
      <w:r>
        <w:rPr/>
        <w:t>por</w:t>
      </w:r>
    </w:p>
    <w:p>
      <w:pPr>
        <w:pStyle w:val="BodyText"/>
      </w:pPr>
    </w:p>
    <w:p>
      <w:pPr>
        <w:pStyle w:val="Heading1"/>
        <w:ind w:left="496" w:right="658"/>
        <w:jc w:val="center"/>
      </w:pPr>
      <w:r>
        <w:rPr/>
        <w:t>Sandra</w:t>
      </w:r>
      <w:r>
        <w:rPr>
          <w:spacing w:val="-3"/>
        </w:rPr>
        <w:t> </w:t>
      </w:r>
      <w:r>
        <w:rPr/>
        <w:t>Vanessa</w:t>
      </w:r>
      <w:r>
        <w:rPr>
          <w:spacing w:val="-1"/>
        </w:rPr>
        <w:t> </w:t>
      </w:r>
      <w:r>
        <w:rPr/>
        <w:t>Ríos</w:t>
      </w:r>
      <w:r>
        <w:rPr>
          <w:spacing w:val="-4"/>
        </w:rPr>
        <w:t> </w:t>
      </w:r>
      <w:r>
        <w:rPr/>
        <w:t>Quintero</w:t>
      </w:r>
      <w:r>
        <w:rPr>
          <w:spacing w:val="-3"/>
        </w:rPr>
        <w:t> </w:t>
      </w:r>
      <w:r>
        <w:rPr/>
        <w:t>MD.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84"/>
        <w:ind w:left="496" w:right="653"/>
        <w:jc w:val="center"/>
      </w:pPr>
      <w:r>
        <w:rPr/>
        <w:t>Directora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 grado</w:t>
      </w:r>
    </w:p>
    <w:p>
      <w:pPr>
        <w:pStyle w:val="BodyText"/>
      </w:pPr>
    </w:p>
    <w:p>
      <w:pPr>
        <w:pStyle w:val="Heading1"/>
        <w:ind w:left="3039" w:right="3203"/>
        <w:jc w:val="center"/>
        <w:rPr>
          <w:i/>
        </w:rPr>
      </w:pPr>
      <w:r>
        <w:rPr/>
        <w:t>Dra.</w:t>
      </w:r>
      <w:r>
        <w:rPr>
          <w:spacing w:val="-2"/>
        </w:rPr>
        <w:t> </w:t>
      </w:r>
      <w:r>
        <w:rPr/>
        <w:t>Claudia</w:t>
      </w:r>
      <w:r>
        <w:rPr>
          <w:spacing w:val="-2"/>
        </w:rPr>
        <w:t> </w:t>
      </w:r>
      <w:r>
        <w:rPr/>
        <w:t>Lucía</w:t>
      </w:r>
      <w:r>
        <w:rPr>
          <w:spacing w:val="-2"/>
        </w:rPr>
        <w:t> </w:t>
      </w:r>
      <w:r>
        <w:rPr/>
        <w:t>Sossa</w:t>
      </w:r>
      <w:r>
        <w:rPr>
          <w:spacing w:val="-2"/>
        </w:rPr>
        <w:t> </w:t>
      </w:r>
      <w:r>
        <w:rPr/>
        <w:t>Melo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MD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231"/>
        <w:ind w:left="3039" w:right="3203"/>
        <w:jc w:val="center"/>
      </w:pPr>
      <w:r>
        <w:rPr/>
        <w:t>Coodirector</w:t>
      </w:r>
    </w:p>
    <w:p>
      <w:pPr>
        <w:pStyle w:val="BodyText"/>
      </w:pPr>
    </w:p>
    <w:p>
      <w:pPr>
        <w:pStyle w:val="Heading1"/>
        <w:ind w:left="496" w:right="657"/>
        <w:jc w:val="center"/>
      </w:pPr>
      <w:r>
        <w:rPr/>
        <w:t>Dr.</w:t>
      </w:r>
      <w:r>
        <w:rPr>
          <w:spacing w:val="-2"/>
        </w:rPr>
        <w:t> </w:t>
      </w:r>
      <w:r>
        <w:rPr/>
        <w:t>Miguel</w:t>
      </w:r>
      <w:r>
        <w:rPr>
          <w:spacing w:val="-2"/>
        </w:rPr>
        <w:t> </w:t>
      </w:r>
      <w:r>
        <w:rPr/>
        <w:t>Enrique</w:t>
      </w:r>
      <w:r>
        <w:rPr>
          <w:spacing w:val="-1"/>
        </w:rPr>
        <w:t> </w:t>
      </w:r>
      <w:r>
        <w:rPr/>
        <w:t>Ochoa</w:t>
      </w:r>
      <w:r>
        <w:rPr>
          <w:spacing w:val="-2"/>
        </w:rPr>
        <w:t> </w:t>
      </w:r>
      <w:r>
        <w:rPr/>
        <w:t>Vera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2801" w:right="2966" w:firstLine="0"/>
        <w:jc w:val="center"/>
        <w:rPr>
          <w:b/>
          <w:sz w:val="24"/>
        </w:rPr>
      </w:pPr>
      <w:r>
        <w:rPr>
          <w:b/>
          <w:sz w:val="24"/>
        </w:rPr>
        <w:t>Universidad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Autónoma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Bucaramanga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Salud</w:t>
      </w:r>
    </w:p>
    <w:p>
      <w:pPr>
        <w:pStyle w:val="Heading1"/>
        <w:ind w:left="3081" w:right="3243"/>
        <w:jc w:val="center"/>
      </w:pPr>
      <w:r>
        <w:rPr/>
        <w:t>Escuela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Medicina</w:t>
      </w:r>
      <w:r>
        <w:rPr>
          <w:spacing w:val="1"/>
        </w:rPr>
        <w:t> </w:t>
      </w:r>
      <w:r>
        <w:rPr/>
        <w:t>Departamento de Medicina Interna</w:t>
      </w:r>
      <w:r>
        <w:rPr>
          <w:spacing w:val="-57"/>
        </w:rPr>
        <w:t> </w:t>
      </w:r>
      <w:r>
        <w:rPr/>
        <w:t>Bucaramanga</w:t>
      </w:r>
    </w:p>
    <w:p>
      <w:pPr>
        <w:spacing w:before="0"/>
        <w:ind w:left="496" w:right="659" w:firstLine="0"/>
        <w:jc w:val="center"/>
        <w:rPr>
          <w:b/>
          <w:sz w:val="24"/>
        </w:rPr>
      </w:pPr>
      <w:r>
        <w:rPr>
          <w:b/>
          <w:sz w:val="24"/>
        </w:rPr>
        <w:t>2020</w:t>
      </w:r>
    </w:p>
    <w:p>
      <w:pPr>
        <w:spacing w:after="0"/>
        <w:jc w:val="center"/>
        <w:rPr>
          <w:sz w:val="24"/>
        </w:rPr>
        <w:sectPr>
          <w:headerReference w:type="default" r:id="rId5"/>
          <w:headerReference w:type="even" r:id="rId6"/>
          <w:type w:val="continuous"/>
          <w:pgSz w:w="12240" w:h="15840"/>
          <w:pgMar w:header="756" w:top="1300" w:bottom="280" w:left="1220" w:right="1060"/>
          <w:pgNumType w:start="1"/>
        </w:sectPr>
      </w:pPr>
    </w:p>
    <w:p>
      <w:pPr>
        <w:pStyle w:val="Heading1"/>
        <w:spacing w:before="100"/>
        <w:ind w:left="480"/>
      </w:pPr>
      <w:r>
        <w:rPr/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920" w:val="left" w:leader="none"/>
              <w:tab w:pos="921" w:val="left" w:leader="none"/>
              <w:tab w:pos="9312" w:val="right" w:leader="dot"/>
            </w:tabs>
            <w:spacing w:line="240" w:lineRule="auto" w:before="275" w:after="0"/>
            <w:ind w:left="920" w:right="0" w:hanging="441"/>
            <w:jc w:val="left"/>
            <w:rPr>
              <w:rFonts w:ascii="Arial" w:hAnsi="Arial"/>
            </w:rPr>
          </w:pPr>
          <w:hyperlink w:history="true" w:anchor="_bookmark0">
            <w:r>
              <w:rPr>
                <w:rFonts w:ascii="Arial" w:hAnsi="Arial"/>
              </w:rPr>
              <w:t>Planteamiento</w:t>
            </w:r>
            <w:r>
              <w:rPr>
                <w:rFonts w:ascii="Arial" w:hAnsi="Arial"/>
                <w:spacing w:val="1"/>
              </w:rPr>
              <w:t> </w:t>
            </w:r>
            <w:r>
              <w:rPr>
                <w:rFonts w:ascii="Arial" w:hAnsi="Arial"/>
              </w:rPr>
              <w:t>y</w:t>
            </w:r>
            <w:r>
              <w:rPr>
                <w:rFonts w:ascii="Arial" w:hAnsi="Arial"/>
                <w:spacing w:val="-1"/>
              </w:rPr>
              <w:t> </w:t>
            </w:r>
            <w:r>
              <w:rPr>
                <w:rFonts w:ascii="Arial" w:hAnsi="Arial"/>
              </w:rPr>
              <w:t>justificación</w:t>
            </w:r>
            <w:r>
              <w:rPr>
                <w:rFonts w:ascii="Arial" w:hAnsi="Arial"/>
                <w:spacing w:val="-3"/>
              </w:rPr>
              <w:t> </w:t>
            </w:r>
            <w:r>
              <w:rPr>
                <w:rFonts w:ascii="Arial" w:hAnsi="Arial"/>
              </w:rPr>
              <w:t>del</w:t>
            </w:r>
            <w:r>
              <w:rPr>
                <w:rFonts w:ascii="Arial" w:hAnsi="Arial"/>
                <w:spacing w:val="1"/>
              </w:rPr>
              <w:t> </w:t>
            </w:r>
            <w:r>
              <w:rPr>
                <w:rFonts w:ascii="Arial" w:hAnsi="Arial"/>
              </w:rPr>
              <w:t>problema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0" w:val="left" w:leader="none"/>
              <w:tab w:pos="921" w:val="left" w:leader="none"/>
              <w:tab w:pos="9312" w:val="right" w:leader="dot"/>
            </w:tabs>
            <w:spacing w:line="240" w:lineRule="auto" w:before="100" w:after="0"/>
            <w:ind w:left="920" w:right="0" w:hanging="441"/>
            <w:jc w:val="left"/>
          </w:pPr>
          <w:hyperlink w:history="true" w:anchor="_bookmark1">
            <w:r>
              <w:rPr/>
              <w:t>Marco teórico</w:t>
            </w:r>
          </w:hyperlink>
          <w:r>
            <w:rPr/>
            <w:tab/>
          </w:r>
          <w:hyperlink w:history="true" w:anchor="_bookmark1">
            <w:r>
              <w:rPr>
                <w:rFonts w:ascii="Arial" w:hAnsi="Arial"/>
              </w:rPr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13" w:val="right" w:leader="dot"/>
            </w:tabs>
            <w:spacing w:line="240" w:lineRule="auto" w:before="100" w:after="0"/>
            <w:ind w:left="1361" w:right="0" w:hanging="641"/>
            <w:jc w:val="left"/>
            <w:rPr>
              <w:rFonts w:ascii="Calibri" w:hAnsi="Calibri"/>
            </w:rPr>
          </w:pPr>
          <w:hyperlink w:history="true" w:anchor="_bookmark2">
            <w:r>
              <w:rPr>
                <w:rFonts w:ascii="Calibri" w:hAnsi="Calibri"/>
              </w:rPr>
              <w:t>Leucemia</w:t>
            </w:r>
            <w:r>
              <w:rPr>
                <w:rFonts w:ascii="Calibri" w:hAnsi="Calibri"/>
                <w:spacing w:val="1"/>
              </w:rPr>
              <w:t> </w:t>
            </w:r>
            <w:r>
              <w:rPr>
                <w:rFonts w:ascii="Calibri" w:hAnsi="Calibri"/>
              </w:rPr>
              <w:t>Linfoblástica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aguda</w:t>
              <w:tab/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13" w:val="right" w:leader="dot"/>
            </w:tabs>
            <w:spacing w:line="240" w:lineRule="auto" w:before="103" w:after="0"/>
            <w:ind w:left="1361" w:right="0" w:hanging="641"/>
            <w:jc w:val="left"/>
          </w:pPr>
          <w:hyperlink w:history="true" w:anchor="_bookmark4">
            <w:r>
              <w:rPr/>
              <w:t>Tratamiento</w:t>
            </w:r>
          </w:hyperlink>
          <w:r>
            <w:rPr/>
            <w:tab/>
          </w:r>
          <w:hyperlink w:history="true" w:anchor="_bookmark4">
            <w:r>
              <w:rPr>
                <w:rFonts w:ascii="Calibri"/>
              </w:rPr>
              <w:t>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99" w:after="0"/>
            <w:ind w:left="1361" w:right="0" w:hanging="641"/>
            <w:jc w:val="left"/>
          </w:pPr>
          <w:hyperlink w:history="true" w:anchor="_bookmark5">
            <w:r>
              <w:rPr/>
              <w:t>Enfermedad</w:t>
            </w:r>
            <w:r>
              <w:rPr>
                <w:spacing w:val="-1"/>
              </w:rPr>
              <w:t> </w:t>
            </w:r>
            <w:r>
              <w:rPr/>
              <w:t>mínima</w:t>
            </w:r>
            <w:r>
              <w:rPr>
                <w:spacing w:val="1"/>
              </w:rPr>
              <w:t> </w:t>
            </w:r>
            <w:r>
              <w:rPr/>
              <w:t>residual</w:t>
            </w:r>
          </w:hyperlink>
          <w:r>
            <w:rPr/>
            <w:tab/>
          </w:r>
          <w:hyperlink w:history="true" w:anchor="_bookmark5">
            <w:r>
              <w:rPr>
                <w:rFonts w:ascii="Calibri" w:hAnsi="Calibri"/>
              </w:rPr>
              <w:t>10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99" w:after="0"/>
            <w:ind w:left="1361" w:right="0" w:hanging="641"/>
            <w:jc w:val="left"/>
          </w:pPr>
          <w:hyperlink w:history="true" w:anchor="_bookmark6">
            <w:r>
              <w:rPr/>
              <w:t>Recaída 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enfermedad</w:t>
            </w:r>
          </w:hyperlink>
          <w:r>
            <w:rPr/>
            <w:tab/>
          </w:r>
          <w:hyperlink w:history="true" w:anchor="_bookmark6">
            <w:r>
              <w:rPr>
                <w:rFonts w:ascii="Calibri" w:hAnsi="Calibri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0" w:val="left" w:leader="none"/>
              <w:tab w:pos="921" w:val="left" w:leader="none"/>
              <w:tab w:pos="9306" w:val="right" w:leader="dot"/>
            </w:tabs>
            <w:spacing w:line="240" w:lineRule="auto" w:before="99" w:after="0"/>
            <w:ind w:left="920" w:right="0" w:hanging="441"/>
            <w:jc w:val="left"/>
            <w:rPr>
              <w:rFonts w:ascii="Arial"/>
            </w:rPr>
          </w:pPr>
          <w:hyperlink w:history="true" w:anchor="_bookmark7">
            <w:r>
              <w:rPr>
                <w:rFonts w:ascii="Arial"/>
              </w:rPr>
              <w:t>Estado</w:t>
            </w:r>
            <w:r>
              <w:rPr>
                <w:rFonts w:ascii="Arial"/>
                <w:spacing w:val="1"/>
              </w:rPr>
              <w:t> </w:t>
            </w:r>
            <w:r>
              <w:rPr>
                <w:rFonts w:ascii="Arial"/>
              </w:rPr>
              <w:t>del</w:t>
            </w:r>
            <w:r>
              <w:rPr>
                <w:rFonts w:ascii="Arial"/>
                <w:spacing w:val="1"/>
              </w:rPr>
              <w:t> </w:t>
            </w:r>
            <w:r>
              <w:rPr>
                <w:rFonts w:ascii="Arial"/>
              </w:rPr>
              <w:t>arte</w:t>
              <w:tab/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0" w:val="left" w:leader="none"/>
              <w:tab w:pos="921" w:val="left" w:leader="none"/>
              <w:tab w:pos="9306" w:val="right" w:leader="dot"/>
            </w:tabs>
            <w:spacing w:line="240" w:lineRule="auto" w:before="100" w:after="0"/>
            <w:ind w:left="920" w:right="0" w:hanging="441"/>
            <w:jc w:val="left"/>
            <w:rPr>
              <w:rFonts w:ascii="Arial"/>
            </w:rPr>
          </w:pPr>
          <w:hyperlink w:history="true" w:anchor="_bookmark9">
            <w:r>
              <w:rPr>
                <w:rFonts w:ascii="Arial"/>
              </w:rPr>
              <w:t>Objetivos</w:t>
              <w:tab/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101" w:after="0"/>
            <w:ind w:left="1361" w:right="0" w:hanging="641"/>
            <w:jc w:val="left"/>
            <w:rPr>
              <w:rFonts w:ascii="Calibri"/>
            </w:rPr>
          </w:pPr>
          <w:hyperlink w:history="true" w:anchor="_bookmark10">
            <w:r>
              <w:rPr>
                <w:rFonts w:ascii="Calibri"/>
              </w:rPr>
              <w:t>Objetivo</w:t>
            </w:r>
            <w:r>
              <w:rPr>
                <w:rFonts w:ascii="Calibri"/>
                <w:spacing w:val="1"/>
              </w:rPr>
              <w:t> </w:t>
            </w:r>
            <w:r>
              <w:rPr>
                <w:rFonts w:ascii="Calibri"/>
              </w:rPr>
              <w:t>general</w:t>
              <w:tab/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103" w:after="0"/>
            <w:ind w:left="1361" w:right="0" w:hanging="641"/>
            <w:jc w:val="left"/>
          </w:pPr>
          <w:hyperlink w:history="true" w:anchor="_bookmark11">
            <w:r>
              <w:rPr/>
              <w:t>Objetivos</w:t>
            </w:r>
            <w:r>
              <w:rPr>
                <w:spacing w:val="-3"/>
              </w:rPr>
              <w:t> </w:t>
            </w:r>
            <w:r>
              <w:rPr/>
              <w:t>específicos</w:t>
            </w:r>
          </w:hyperlink>
          <w:r>
            <w:rPr/>
            <w:tab/>
          </w:r>
          <w:hyperlink w:history="true" w:anchor="_bookmark11">
            <w:r>
              <w:rPr>
                <w:rFonts w:ascii="Calibri" w:hAnsi="Calibri"/>
              </w:rPr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0" w:val="left" w:leader="none"/>
              <w:tab w:pos="921" w:val="left" w:leader="none"/>
              <w:tab w:pos="9306" w:val="right" w:leader="dot"/>
            </w:tabs>
            <w:spacing w:line="240" w:lineRule="auto" w:before="98" w:after="0"/>
            <w:ind w:left="920" w:right="0" w:hanging="441"/>
            <w:jc w:val="left"/>
            <w:rPr>
              <w:rFonts w:ascii="Arial" w:hAnsi="Arial"/>
            </w:rPr>
          </w:pPr>
          <w:hyperlink w:history="true" w:anchor="_bookmark12">
            <w:r>
              <w:rPr>
                <w:rFonts w:ascii="Arial" w:hAnsi="Arial"/>
              </w:rPr>
              <w:t>Metodología</w:t>
              <w:tab/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101" w:after="0"/>
            <w:ind w:left="1361" w:right="0" w:hanging="641"/>
            <w:jc w:val="left"/>
          </w:pPr>
          <w:hyperlink w:history="true" w:anchor="_bookmark13">
            <w:r>
              <w:rPr/>
              <w:t>Tipo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estudio</w:t>
            </w:r>
          </w:hyperlink>
          <w:r>
            <w:rPr/>
            <w:tab/>
          </w:r>
          <w:hyperlink w:history="true" w:anchor="_bookmark13">
            <w:r>
              <w:rPr>
                <w:rFonts w:ascii="Calibri"/>
              </w:rPr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99" w:after="0"/>
            <w:ind w:left="1361" w:right="0" w:hanging="641"/>
            <w:jc w:val="left"/>
          </w:pPr>
          <w:hyperlink w:history="true" w:anchor="_bookmark14">
            <w:r>
              <w:rPr/>
              <w:t>Población</w:t>
            </w:r>
          </w:hyperlink>
          <w:r>
            <w:rPr/>
            <w:tab/>
          </w:r>
          <w:hyperlink w:history="true" w:anchor="_bookmark14">
            <w:r>
              <w:rPr>
                <w:rFonts w:ascii="Calibri" w:hAnsi="Calibri"/>
              </w:rPr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99" w:after="0"/>
            <w:ind w:left="1361" w:right="0" w:hanging="641"/>
            <w:jc w:val="left"/>
          </w:pPr>
          <w:hyperlink w:history="true" w:anchor="_bookmark15">
            <w:r>
              <w:rPr/>
              <w:t>Criterios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inclusión y</w:t>
            </w:r>
            <w:r>
              <w:rPr>
                <w:spacing w:val="-5"/>
              </w:rPr>
              <w:t> </w:t>
            </w:r>
            <w:r>
              <w:rPr/>
              <w:t>exclusión</w:t>
            </w:r>
          </w:hyperlink>
          <w:r>
            <w:rPr/>
            <w:tab/>
          </w:r>
          <w:hyperlink w:history="true" w:anchor="_bookmark15">
            <w:r>
              <w:rPr>
                <w:rFonts w:ascii="Calibri" w:hAnsi="Calibri"/>
              </w:rPr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104" w:after="0"/>
            <w:ind w:left="1361" w:right="0" w:hanging="641"/>
            <w:jc w:val="left"/>
          </w:pPr>
          <w:hyperlink w:history="true" w:anchor="_bookmark16">
            <w:r>
              <w:rPr/>
              <w:t>Muestra</w:t>
            </w:r>
          </w:hyperlink>
          <w:r>
            <w:rPr/>
            <w:tab/>
          </w:r>
          <w:hyperlink w:history="true" w:anchor="_bookmark16">
            <w:r>
              <w:rPr>
                <w:rFonts w:ascii="Calibri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60" w:val="left" w:leader="none"/>
              <w:tab w:pos="1361" w:val="left" w:leader="none"/>
              <w:tab w:pos="9306" w:val="right" w:leader="dot"/>
            </w:tabs>
            <w:spacing w:line="240" w:lineRule="auto" w:before="99" w:after="0"/>
            <w:ind w:left="1361" w:right="0" w:hanging="641"/>
            <w:jc w:val="left"/>
          </w:pPr>
          <w:hyperlink w:history="true" w:anchor="_bookmark17">
            <w:r>
              <w:rPr/>
              <w:t>Recolección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información</w:t>
            </w:r>
          </w:hyperlink>
          <w:r>
            <w:rPr/>
            <w:tab/>
          </w:r>
          <w:hyperlink w:history="true" w:anchor="_bookmark17">
            <w:r>
              <w:rPr>
                <w:rFonts w:ascii="Calibri" w:hAnsi="Calibri"/>
              </w:rPr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40" w:val="left" w:leader="none"/>
              <w:tab w:pos="1141" w:val="left" w:leader="none"/>
              <w:tab w:pos="9306" w:val="right" w:leader="dot"/>
            </w:tabs>
            <w:spacing w:line="240" w:lineRule="auto" w:before="99" w:after="0"/>
            <w:ind w:left="1141" w:right="0" w:hanging="421"/>
            <w:jc w:val="left"/>
            <w:rPr>
              <w:rFonts w:ascii="Calibri" w:hAnsi="Calibri"/>
              <w:b w:val="0"/>
            </w:rPr>
          </w:pPr>
          <w:hyperlink w:history="true" w:anchor="_bookmark18">
            <w:r>
              <w:rPr>
                <w:rFonts w:ascii="Calibri" w:hAnsi="Calibri"/>
              </w:rPr>
              <w:t>Hipótesis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40" w:val="left" w:leader="none"/>
              <w:tab w:pos="1141" w:val="left" w:leader="none"/>
              <w:tab w:pos="9306" w:val="right" w:leader="dot"/>
            </w:tabs>
            <w:spacing w:line="240" w:lineRule="auto" w:before="99" w:after="0"/>
            <w:ind w:left="1141" w:right="0" w:hanging="421"/>
            <w:jc w:val="left"/>
            <w:rPr>
              <w:b w:val="0"/>
            </w:rPr>
          </w:pPr>
          <w:hyperlink w:history="true" w:anchor="_bookmark19">
            <w:r>
              <w:rPr/>
              <w:t>Variables</w:t>
            </w:r>
          </w:hyperlink>
          <w:r>
            <w:rPr/>
            <w:tab/>
          </w:r>
          <w:hyperlink w:history="true" w:anchor="_bookmark19">
            <w:r>
              <w:rPr>
                <w:rFonts w:ascii="Calibri"/>
                <w:b w:val="0"/>
              </w:rPr>
              <w:t>17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40" w:val="left" w:leader="none"/>
              <w:tab w:pos="1141" w:val="left" w:leader="none"/>
              <w:tab w:pos="9306" w:val="right" w:leader="dot"/>
            </w:tabs>
            <w:spacing w:line="240" w:lineRule="auto" w:before="103" w:after="0"/>
            <w:ind w:left="1141" w:right="0" w:hanging="421"/>
            <w:jc w:val="left"/>
            <w:rPr>
              <w:b w:val="0"/>
            </w:rPr>
          </w:pPr>
          <w:hyperlink w:history="true" w:anchor="_bookmark20">
            <w:r>
              <w:rPr/>
              <w:t>Plan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datos</w:t>
            </w:r>
          </w:hyperlink>
          <w:r>
            <w:rPr/>
            <w:tab/>
          </w:r>
          <w:hyperlink w:history="true" w:anchor="_bookmark20">
            <w:r>
              <w:rPr>
                <w:rFonts w:ascii="Calibri" w:hAnsi="Calibri"/>
                <w:b w:val="0"/>
              </w:rPr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1" w:val="left" w:leader="none"/>
              <w:tab w:pos="9306" w:val="right" w:leader="dot"/>
            </w:tabs>
            <w:spacing w:line="240" w:lineRule="auto" w:before="99" w:after="0"/>
            <w:ind w:left="1080" w:right="0" w:hanging="361"/>
            <w:jc w:val="left"/>
            <w:rPr>
              <w:b w:val="0"/>
            </w:rPr>
          </w:pPr>
          <w:hyperlink w:history="true" w:anchor="_bookmark21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estadístico univariado</w:t>
            </w:r>
          </w:hyperlink>
          <w:r>
            <w:rPr/>
            <w:tab/>
          </w:r>
          <w:hyperlink w:history="true" w:anchor="_bookmark21">
            <w:r>
              <w:rPr>
                <w:rFonts w:ascii="Calibri" w:hAnsi="Calibri"/>
                <w:b w:val="0"/>
              </w:rPr>
              <w:t>25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40" w:val="left" w:leader="none"/>
              <w:tab w:pos="1141" w:val="left" w:leader="none"/>
              <w:tab w:pos="9306" w:val="right" w:leader="dot"/>
            </w:tabs>
            <w:spacing w:line="240" w:lineRule="auto" w:before="99" w:after="0"/>
            <w:ind w:left="1141" w:right="0" w:hanging="421"/>
            <w:jc w:val="left"/>
            <w:rPr>
              <w:b w:val="0"/>
            </w:rPr>
          </w:pPr>
          <w:hyperlink w:history="true" w:anchor="_bookmark22">
            <w:r>
              <w:rPr/>
              <w:t>Consideraciones</w:t>
            </w:r>
            <w:r>
              <w:rPr>
                <w:spacing w:val="-3"/>
              </w:rPr>
              <w:t> </w:t>
            </w:r>
            <w:r>
              <w:rPr/>
              <w:t>éticas</w:t>
            </w:r>
          </w:hyperlink>
          <w:r>
            <w:rPr/>
            <w:tab/>
          </w:r>
          <w:hyperlink w:history="true" w:anchor="_bookmark22">
            <w:r>
              <w:rPr>
                <w:rFonts w:ascii="Calibri" w:hAnsi="Calibri"/>
                <w:b w:val="0"/>
              </w:rPr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1" w:val="left" w:leader="none"/>
              <w:tab w:pos="9306" w:val="right" w:leader="dot"/>
            </w:tabs>
            <w:spacing w:line="240" w:lineRule="auto" w:before="99" w:after="0"/>
            <w:ind w:left="920" w:right="0" w:hanging="441"/>
            <w:jc w:val="left"/>
          </w:pPr>
          <w:hyperlink w:history="true" w:anchor="_bookmark23">
            <w:r>
              <w:rPr/>
              <w:t>Resultados</w:t>
            </w:r>
          </w:hyperlink>
          <w:r>
            <w:rPr/>
            <w:tab/>
          </w:r>
          <w:hyperlink w:history="true" w:anchor="_bookmark23">
            <w:r>
              <w:rPr>
                <w:rFonts w:ascii="Arial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1" w:val="left" w:leader="none"/>
              <w:tab w:pos="9306" w:val="right" w:leader="dot"/>
            </w:tabs>
            <w:spacing w:line="240" w:lineRule="auto" w:before="103" w:after="0"/>
            <w:ind w:left="920" w:right="0" w:hanging="441"/>
            <w:jc w:val="left"/>
          </w:pPr>
          <w:hyperlink w:history="true" w:anchor="_bookmark36">
            <w:r>
              <w:rPr/>
              <w:t>Discusión</w:t>
            </w:r>
          </w:hyperlink>
          <w:r>
            <w:rPr/>
            <w:tab/>
          </w:r>
          <w:hyperlink w:history="true" w:anchor="_bookmark36">
            <w:r>
              <w:rPr>
                <w:rFonts w:ascii="Arial" w:hAnsi="Arial"/>
              </w:rPr>
              <w:t>46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1" w:val="left" w:leader="none"/>
              <w:tab w:pos="9306" w:val="right" w:leader="dot"/>
            </w:tabs>
            <w:spacing w:line="240" w:lineRule="auto" w:before="99" w:after="0"/>
            <w:ind w:left="920" w:right="0" w:hanging="441"/>
            <w:jc w:val="left"/>
          </w:pPr>
          <w:hyperlink w:history="true" w:anchor="_bookmark37">
            <w:r>
              <w:rPr/>
              <w:t>Fortalezas</w:t>
            </w:r>
            <w:r>
              <w:rPr>
                <w:spacing w:val="-3"/>
              </w:rPr>
              <w:t> </w:t>
            </w:r>
            <w:r>
              <w:rPr/>
              <w:t>y debilidades</w:t>
            </w:r>
          </w:hyperlink>
          <w:r>
            <w:rPr/>
            <w:tab/>
          </w:r>
          <w:hyperlink w:history="true" w:anchor="_bookmark37">
            <w:r>
              <w:rPr>
                <w:rFonts w:ascii="Arial"/>
              </w:rPr>
              <w:t>50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1" w:val="left" w:leader="none"/>
              <w:tab w:pos="9306" w:val="right" w:leader="dot"/>
            </w:tabs>
            <w:spacing w:line="240" w:lineRule="auto" w:before="99" w:after="0"/>
            <w:ind w:left="920" w:right="0" w:hanging="441"/>
            <w:jc w:val="left"/>
          </w:pPr>
          <w:hyperlink w:history="true" w:anchor="_bookmark38">
            <w:r>
              <w:rPr/>
              <w:t>Conclusiones</w:t>
            </w:r>
          </w:hyperlink>
          <w:r>
            <w:rPr/>
            <w:tab/>
          </w:r>
          <w:hyperlink w:history="true" w:anchor="_bookmark38">
            <w:r>
              <w:rPr>
                <w:rFonts w:ascii="Arial"/>
              </w:rPr>
              <w:t>51</w:t>
            </w:r>
          </w:hyperlink>
        </w:p>
        <w:p>
          <w:pPr>
            <w:pStyle w:val="TOC1"/>
            <w:tabs>
              <w:tab w:pos="9306" w:val="right" w:leader="dot"/>
            </w:tabs>
            <w:ind w:left="480" w:firstLine="0"/>
            <w:rPr>
              <w:rFonts w:ascii="Arial"/>
            </w:rPr>
          </w:pPr>
          <w:hyperlink w:history="true" w:anchor="_bookmark39">
            <w:r>
              <w:rPr/>
              <w:t>ANEXOS</w:t>
            </w:r>
          </w:hyperlink>
          <w:r>
            <w:rPr/>
            <w:tab/>
          </w:r>
          <w:hyperlink w:history="true" w:anchor="_bookmark39">
            <w:r>
              <w:rPr>
                <w:rFonts w:ascii="Arial"/>
              </w:rPr>
              <w:t>53</w:t>
            </w:r>
          </w:hyperlink>
        </w:p>
        <w:p>
          <w:pPr>
            <w:pStyle w:val="TOC1"/>
            <w:tabs>
              <w:tab w:pos="9306" w:val="right" w:leader="dot"/>
            </w:tabs>
            <w:spacing w:before="103"/>
            <w:ind w:left="480" w:firstLine="0"/>
            <w:rPr>
              <w:rFonts w:ascii="Arial" w:hAnsi="Arial"/>
            </w:rPr>
          </w:pPr>
          <w:hyperlink w:history="true" w:anchor="_bookmark40">
            <w:r>
              <w:rPr/>
              <w:t>Referencias</w:t>
            </w:r>
            <w:r>
              <w:rPr>
                <w:spacing w:val="-3"/>
              </w:rPr>
              <w:t> </w:t>
            </w:r>
            <w:r>
              <w:rPr/>
              <w:t>bibliográficas</w:t>
            </w:r>
          </w:hyperlink>
          <w:r>
            <w:rPr/>
            <w:tab/>
          </w:r>
          <w:hyperlink w:history="true" w:anchor="_bookmark40">
            <w:r>
              <w:rPr>
                <w:rFonts w:ascii="Arial" w:hAnsi="Arial"/>
              </w:rPr>
              <w:t>56</w:t>
            </w:r>
          </w:hyperlink>
        </w:p>
      </w:sdtContent>
    </w:sdt>
    <w:p>
      <w:pPr>
        <w:spacing w:after="0"/>
        <w:rPr>
          <w:rFonts w:ascii="Arial" w:hAnsi="Arial"/>
        </w:rPr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96" w:right="654" w:firstLine="0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tablas</w:t>
      </w:r>
    </w:p>
    <w:p>
      <w:pPr>
        <w:pStyle w:val="BodyText"/>
        <w:rPr>
          <w:b/>
        </w:rPr>
      </w:pPr>
    </w:p>
    <w:p>
      <w:pPr>
        <w:tabs>
          <w:tab w:pos="9191" w:val="left" w:leader="dot"/>
        </w:tabs>
        <w:spacing w:before="0"/>
        <w:ind w:left="480" w:right="0" w:firstLine="0"/>
        <w:jc w:val="left"/>
        <w:rPr>
          <w:sz w:val="24"/>
        </w:rPr>
      </w:pPr>
      <w:hyperlink w:history="true" w:anchor="_bookmark3">
        <w:r>
          <w:rPr>
            <w:sz w:val="24"/>
          </w:rPr>
          <w:t>T</w:t>
        </w:r>
        <w:r>
          <w:rPr>
            <w:sz w:val="19"/>
          </w:rPr>
          <w:t>ABLA </w:t>
        </w:r>
        <w:r>
          <w:rPr>
            <w:sz w:val="24"/>
          </w:rPr>
          <w:t>1.C</w:t>
        </w:r>
        <w:r>
          <w:rPr>
            <w:sz w:val="19"/>
          </w:rPr>
          <w:t>LASIFICACIÓN</w:t>
        </w:r>
        <w:r>
          <w:rPr>
            <w:spacing w:val="2"/>
            <w:sz w:val="19"/>
          </w:rPr>
          <w:t> </w:t>
        </w:r>
        <w:r>
          <w:rPr>
            <w:sz w:val="24"/>
          </w:rPr>
          <w:t>OMS.</w:t>
        </w:r>
        <w:r>
          <w:rPr>
            <w:spacing w:val="-14"/>
            <w:sz w:val="24"/>
          </w:rPr>
          <w:t> </w:t>
        </w:r>
        <w:r>
          <w:rPr>
            <w:sz w:val="24"/>
          </w:rPr>
          <w:t>R</w:t>
        </w:r>
        <w:r>
          <w:rPr>
            <w:sz w:val="19"/>
          </w:rPr>
          <w:t>EVISIÓN</w:t>
        </w:r>
        <w:r>
          <w:rPr>
            <w:spacing w:val="-6"/>
            <w:sz w:val="19"/>
          </w:rPr>
          <w:t> </w:t>
        </w:r>
        <w:r>
          <w:rPr>
            <w:sz w:val="24"/>
          </w:rPr>
          <w:t>2016</w:t>
        </w:r>
        <w:r>
          <w:rPr>
            <w:spacing w:val="-14"/>
            <w:sz w:val="24"/>
          </w:rPr>
          <w:t> </w:t>
        </w:r>
        <w:r>
          <w:rPr>
            <w:sz w:val="19"/>
          </w:rPr>
          <w:t>DE</w:t>
        </w:r>
        <w:r>
          <w:rPr>
            <w:spacing w:val="-2"/>
            <w:sz w:val="19"/>
          </w:rPr>
          <w:t> </w:t>
        </w:r>
        <w:r>
          <w:rPr>
            <w:sz w:val="19"/>
          </w:rPr>
          <w:t>LEUCEMIAS</w:t>
        </w:r>
        <w:r>
          <w:rPr>
            <w:spacing w:val="-4"/>
            <w:sz w:val="19"/>
          </w:rPr>
          <w:t> </w:t>
        </w:r>
        <w:r>
          <w:rPr>
            <w:sz w:val="19"/>
          </w:rPr>
          <w:t>AGUDAS</w:t>
          <w:tab/>
        </w:r>
        <w:r>
          <w:rPr>
            <w:sz w:val="24"/>
          </w:rPr>
          <w:t>9</w:t>
        </w:r>
      </w:hyperlink>
    </w:p>
    <w:p>
      <w:pPr>
        <w:tabs>
          <w:tab w:pos="9070" w:val="left" w:leader="dot"/>
        </w:tabs>
        <w:spacing w:line="360" w:lineRule="auto" w:before="140"/>
        <w:ind w:left="960" w:right="648" w:hanging="480"/>
        <w:jc w:val="left"/>
        <w:rPr>
          <w:sz w:val="24"/>
        </w:rPr>
      </w:pPr>
      <w:hyperlink w:history="true" w:anchor="_bookmark25">
        <w:r>
          <w:rPr>
            <w:sz w:val="24"/>
          </w:rPr>
          <w:t>T</w:t>
        </w:r>
        <w:r>
          <w:rPr>
            <w:sz w:val="19"/>
          </w:rPr>
          <w:t>ABLA </w:t>
        </w:r>
        <w:r>
          <w:rPr>
            <w:sz w:val="24"/>
          </w:rPr>
          <w:t>2. C</w:t>
        </w:r>
        <w:r>
          <w:rPr>
            <w:sz w:val="19"/>
          </w:rPr>
          <w:t>LASIFICACIÓN DE LOS PACIENTES DE ACUERDO AL LUGAR DE DIAGNÓSTICO Y AL</w:t>
        </w:r>
      </w:hyperlink>
      <w:r>
        <w:rPr>
          <w:spacing w:val="1"/>
          <w:sz w:val="19"/>
        </w:rPr>
        <w:t> </w:t>
      </w:r>
      <w:hyperlink w:history="true" w:anchor="_bookmark25">
        <w:r>
          <w:rPr>
            <w:sz w:val="19"/>
          </w:rPr>
          <w:t>PERIODO DE TIEMPO</w:t>
        </w:r>
        <w:r>
          <w:rPr>
            <w:sz w:val="24"/>
          </w:rPr>
          <w:t>, </w:t>
        </w:r>
        <w:r>
          <w:rPr>
            <w:sz w:val="19"/>
          </w:rPr>
          <w:t>EN LOS PACIENTES CON </w:t>
        </w:r>
        <w:r>
          <w:rPr>
            <w:sz w:val="24"/>
          </w:rPr>
          <w:t>L</w:t>
        </w:r>
        <w:r>
          <w:rPr>
            <w:sz w:val="19"/>
          </w:rPr>
          <w:t>EUCEMIA </w:t>
        </w:r>
        <w:r>
          <w:rPr>
            <w:sz w:val="24"/>
          </w:rPr>
          <w:t>L</w:t>
        </w:r>
        <w:r>
          <w:rPr>
            <w:sz w:val="19"/>
          </w:rPr>
          <w:t>INFOBLÁSTICA AGUDA</w:t>
        </w:r>
      </w:hyperlink>
      <w:r>
        <w:rPr>
          <w:spacing w:val="1"/>
          <w:sz w:val="19"/>
        </w:rPr>
        <w:t> </w:t>
      </w:r>
      <w:hyperlink w:history="true" w:anchor="_bookmark25">
        <w:r>
          <w:rPr>
            <w:sz w:val="19"/>
          </w:rPr>
          <w:t>ATENDIDOS</w:t>
        </w:r>
        <w:r>
          <w:rPr>
            <w:spacing w:val="-1"/>
            <w:sz w:val="19"/>
          </w:rPr>
          <w:t> </w:t>
        </w:r>
        <w:r>
          <w:rPr>
            <w:sz w:val="19"/>
          </w:rPr>
          <w:t>EN LA</w:t>
        </w:r>
        <w:r>
          <w:rPr>
            <w:spacing w:val="2"/>
            <w:sz w:val="19"/>
          </w:rPr>
          <w:t> </w:t>
        </w:r>
        <w:r>
          <w:rPr>
            <w:sz w:val="24"/>
          </w:rPr>
          <w:t>FOSCAL</w:t>
        </w:r>
        <w:r>
          <w:rPr>
            <w:spacing w:val="-12"/>
            <w:sz w:val="24"/>
          </w:rPr>
          <w:t> </w:t>
        </w:r>
        <w:r>
          <w:rPr>
            <w:sz w:val="19"/>
          </w:rPr>
          <w:t>EN EL</w:t>
        </w:r>
        <w:r>
          <w:rPr>
            <w:spacing w:val="-7"/>
            <w:sz w:val="19"/>
          </w:rPr>
          <w:t> </w:t>
        </w:r>
        <w:r>
          <w:rPr>
            <w:sz w:val="19"/>
          </w:rPr>
          <w:t>PERIODO</w:t>
        </w:r>
        <w:r>
          <w:rPr>
            <w:spacing w:val="2"/>
            <w:sz w:val="19"/>
          </w:rPr>
          <w:t> </w:t>
        </w:r>
        <w:r>
          <w:rPr>
            <w:sz w:val="24"/>
          </w:rPr>
          <w:t>2013</w:t>
        </w:r>
        <w:r>
          <w:rPr>
            <w:spacing w:val="-13"/>
            <w:sz w:val="24"/>
          </w:rPr>
          <w:t> </w:t>
        </w:r>
        <w:r>
          <w:rPr>
            <w:sz w:val="24"/>
          </w:rPr>
          <w:t>-</w:t>
        </w:r>
        <w:r>
          <w:rPr>
            <w:spacing w:val="-13"/>
            <w:sz w:val="24"/>
          </w:rPr>
          <w:t> </w:t>
        </w:r>
        <w:r>
          <w:rPr>
            <w:sz w:val="24"/>
          </w:rPr>
          <w:t>2020.</w:t>
          <w:tab/>
        </w:r>
        <w:r>
          <w:rPr>
            <w:spacing w:val="-3"/>
            <w:sz w:val="24"/>
          </w:rPr>
          <w:t>29</w:t>
        </w:r>
      </w:hyperlink>
    </w:p>
    <w:p>
      <w:pPr>
        <w:tabs>
          <w:tab w:pos="9070" w:val="left" w:leader="dot"/>
        </w:tabs>
        <w:spacing w:line="360" w:lineRule="auto" w:before="0"/>
        <w:ind w:left="960" w:right="648" w:hanging="480"/>
        <w:jc w:val="left"/>
        <w:rPr>
          <w:sz w:val="24"/>
        </w:rPr>
      </w:pPr>
      <w:hyperlink w:history="true" w:anchor="_bookmark26">
        <w:r>
          <w:rPr>
            <w:sz w:val="24"/>
          </w:rPr>
          <w:t>T</w:t>
        </w:r>
        <w:r>
          <w:rPr>
            <w:sz w:val="19"/>
          </w:rPr>
          <w:t>ABLA </w:t>
        </w:r>
        <w:r>
          <w:rPr>
            <w:sz w:val="24"/>
          </w:rPr>
          <w:t>3. C</w:t>
        </w:r>
        <w:r>
          <w:rPr>
            <w:sz w:val="19"/>
          </w:rPr>
          <w:t>ARACTERÍSTICAS SOCIODEMOGRÁFICAS DE LOS PACIENTES ATENDIDOS EN LA</w:t>
        </w:r>
      </w:hyperlink>
      <w:r>
        <w:rPr>
          <w:spacing w:val="1"/>
          <w:sz w:val="19"/>
        </w:rPr>
        <w:t> </w:t>
      </w:r>
      <w:hyperlink w:history="true" w:anchor="_bookmark26">
        <w:r>
          <w:rPr>
            <w:sz w:val="24"/>
          </w:rPr>
          <w:t>FOSCAL, </w:t>
        </w:r>
        <w:r>
          <w:rPr>
            <w:sz w:val="19"/>
          </w:rPr>
          <w:t>CON DIAGNÓSTICO DE </w:t>
        </w:r>
        <w:r>
          <w:rPr>
            <w:sz w:val="24"/>
          </w:rPr>
          <w:t>L</w:t>
        </w:r>
        <w:r>
          <w:rPr>
            <w:sz w:val="19"/>
          </w:rPr>
          <w:t>EUCEMIA </w:t>
        </w:r>
        <w:r>
          <w:rPr>
            <w:sz w:val="24"/>
          </w:rPr>
          <w:t>L</w:t>
        </w:r>
        <w:r>
          <w:rPr>
            <w:sz w:val="19"/>
          </w:rPr>
          <w:t>INFOBLÁSTICA AGUDA EN EL PERIODO</w:t>
        </w:r>
      </w:hyperlink>
      <w:r>
        <w:rPr>
          <w:spacing w:val="1"/>
          <w:sz w:val="19"/>
        </w:rPr>
        <w:t> </w:t>
      </w:r>
      <w:hyperlink w:history="true" w:anchor="_bookmark26">
        <w:r>
          <w:rPr>
            <w:sz w:val="24"/>
          </w:rPr>
          <w:t>2013</w:t>
        </w:r>
        <w:r>
          <w:rPr>
            <w:spacing w:val="-13"/>
            <w:sz w:val="24"/>
          </w:rPr>
          <w:t> </w:t>
        </w:r>
        <w:r>
          <w:rPr>
            <w:sz w:val="24"/>
          </w:rPr>
          <w:t>–</w:t>
        </w:r>
        <w:r>
          <w:rPr>
            <w:spacing w:val="-12"/>
            <w:sz w:val="24"/>
          </w:rPr>
          <w:t> </w:t>
        </w:r>
        <w:r>
          <w:rPr>
            <w:sz w:val="24"/>
          </w:rPr>
          <w:t>2020,</w:t>
        </w:r>
        <w:r>
          <w:rPr>
            <w:spacing w:val="-13"/>
            <w:sz w:val="24"/>
          </w:rPr>
          <w:t> </w:t>
        </w:r>
        <w:r>
          <w:rPr>
            <w:sz w:val="19"/>
          </w:rPr>
          <w:t>Y</w:t>
        </w:r>
        <w:r>
          <w:rPr>
            <w:spacing w:val="-3"/>
            <w:sz w:val="19"/>
          </w:rPr>
          <w:t> </w:t>
        </w:r>
        <w:r>
          <w:rPr>
            <w:sz w:val="19"/>
          </w:rPr>
          <w:t>SU</w:t>
        </w:r>
        <w:r>
          <w:rPr>
            <w:spacing w:val="-3"/>
            <w:sz w:val="19"/>
          </w:rPr>
          <w:t> </w:t>
        </w:r>
        <w:r>
          <w:rPr>
            <w:sz w:val="19"/>
          </w:rPr>
          <w:t>COMPARACIÓN POR</w:t>
        </w:r>
        <w:r>
          <w:rPr>
            <w:spacing w:val="-4"/>
            <w:sz w:val="19"/>
          </w:rPr>
          <w:t> </w:t>
        </w:r>
        <w:r>
          <w:rPr>
            <w:sz w:val="19"/>
          </w:rPr>
          <w:t>CUATRIENIOS</w:t>
          <w:tab/>
        </w:r>
        <w:r>
          <w:rPr>
            <w:spacing w:val="-3"/>
            <w:sz w:val="24"/>
          </w:rPr>
          <w:t>30</w:t>
        </w:r>
      </w:hyperlink>
    </w:p>
    <w:p>
      <w:pPr>
        <w:spacing w:line="398" w:lineRule="auto" w:before="1"/>
        <w:ind w:left="960" w:right="648" w:hanging="480"/>
        <w:jc w:val="left"/>
        <w:rPr>
          <w:sz w:val="19"/>
        </w:rPr>
      </w:pPr>
      <w:hyperlink w:history="true" w:anchor="_bookmark27">
        <w:r>
          <w:rPr>
            <w:sz w:val="24"/>
          </w:rPr>
          <w:t>T</w:t>
        </w:r>
        <w:r>
          <w:rPr>
            <w:sz w:val="19"/>
          </w:rPr>
          <w:t>ABLA </w:t>
        </w:r>
        <w:r>
          <w:rPr>
            <w:sz w:val="24"/>
          </w:rPr>
          <w:t>4. A</w:t>
        </w:r>
        <w:r>
          <w:rPr>
            <w:sz w:val="19"/>
          </w:rPr>
          <w:t>NTECEDENTES CLÍNICOS</w:t>
        </w:r>
        <w:r>
          <w:rPr>
            <w:sz w:val="24"/>
          </w:rPr>
          <w:t>, </w:t>
        </w:r>
        <w:r>
          <w:rPr>
            <w:sz w:val="19"/>
          </w:rPr>
          <w:t>FUNCIONALIDAD Y CARACTERÍSTICAS</w:t>
        </w:r>
      </w:hyperlink>
      <w:r>
        <w:rPr>
          <w:spacing w:val="1"/>
          <w:sz w:val="19"/>
        </w:rPr>
        <w:t> </w:t>
      </w:r>
      <w:hyperlink w:history="true" w:anchor="_bookmark27">
        <w:r>
          <w:rPr>
            <w:sz w:val="19"/>
          </w:rPr>
          <w:t>INMUNOFENOTÍPICAS</w:t>
        </w:r>
        <w:r>
          <w:rPr>
            <w:spacing w:val="-5"/>
            <w:sz w:val="19"/>
          </w:rPr>
          <w:t> </w:t>
        </w:r>
        <w:r>
          <w:rPr>
            <w:sz w:val="19"/>
          </w:rPr>
          <w:t>PRESENTES</w:t>
        </w:r>
        <w:r>
          <w:rPr>
            <w:spacing w:val="-4"/>
            <w:sz w:val="19"/>
          </w:rPr>
          <w:t> </w:t>
        </w:r>
        <w:r>
          <w:rPr>
            <w:sz w:val="19"/>
          </w:rPr>
          <w:t>AL</w:t>
        </w:r>
        <w:r>
          <w:rPr>
            <w:spacing w:val="-5"/>
            <w:sz w:val="19"/>
          </w:rPr>
          <w:t> </w:t>
        </w:r>
        <w:r>
          <w:rPr>
            <w:sz w:val="19"/>
          </w:rPr>
          <w:t>DIAGNÓSTICO</w:t>
        </w:r>
        <w:r>
          <w:rPr>
            <w:spacing w:val="-4"/>
            <w:sz w:val="19"/>
          </w:rPr>
          <w:t> </w:t>
        </w:r>
        <w:r>
          <w:rPr>
            <w:sz w:val="19"/>
          </w:rPr>
          <w:t>EN</w:t>
        </w:r>
        <w:r>
          <w:rPr>
            <w:spacing w:val="-4"/>
            <w:sz w:val="19"/>
          </w:rPr>
          <w:t> </w:t>
        </w:r>
        <w:r>
          <w:rPr>
            <w:sz w:val="19"/>
          </w:rPr>
          <w:t>PACIENTES</w:t>
        </w:r>
        <w:r>
          <w:rPr>
            <w:spacing w:val="-5"/>
            <w:sz w:val="19"/>
          </w:rPr>
          <w:t> </w:t>
        </w:r>
        <w:r>
          <w:rPr>
            <w:sz w:val="19"/>
          </w:rPr>
          <w:t>CON LEUCEMIA</w:t>
        </w:r>
      </w:hyperlink>
    </w:p>
    <w:p>
      <w:pPr>
        <w:tabs>
          <w:tab w:pos="9070" w:val="left" w:leader="dot"/>
        </w:tabs>
        <w:spacing w:line="357" w:lineRule="auto" w:before="8"/>
        <w:ind w:left="960" w:right="648" w:firstLine="0"/>
        <w:jc w:val="left"/>
        <w:rPr>
          <w:sz w:val="24"/>
        </w:rPr>
      </w:pPr>
      <w:hyperlink w:history="true" w:anchor="_bookmark27">
        <w:r>
          <w:rPr>
            <w:sz w:val="19"/>
          </w:rPr>
          <w:t>LINFOBLÁSTICA AGUDA EN EL PERIODO </w:t>
        </w:r>
        <w:r>
          <w:rPr>
            <w:sz w:val="24"/>
          </w:rPr>
          <w:t>2013 – 2020 </w:t>
        </w:r>
        <w:r>
          <w:rPr>
            <w:sz w:val="19"/>
          </w:rPr>
          <w:t>Y SU COMPARACIÓN POR</w:t>
        </w:r>
      </w:hyperlink>
      <w:r>
        <w:rPr>
          <w:spacing w:val="1"/>
          <w:sz w:val="19"/>
        </w:rPr>
        <w:t> </w:t>
      </w:r>
      <w:hyperlink w:history="true" w:anchor="_bookmark27">
        <w:r>
          <w:rPr>
            <w:sz w:val="19"/>
          </w:rPr>
          <w:t>CUATRIENIOS</w:t>
          <w:tab/>
        </w:r>
        <w:r>
          <w:rPr>
            <w:spacing w:val="-3"/>
            <w:sz w:val="24"/>
          </w:rPr>
          <w:t>33</w:t>
        </w:r>
      </w:hyperlink>
    </w:p>
    <w:p>
      <w:pPr>
        <w:tabs>
          <w:tab w:pos="9070" w:val="left" w:leader="dot"/>
        </w:tabs>
        <w:spacing w:line="403" w:lineRule="auto" w:before="5"/>
        <w:ind w:left="960" w:right="645" w:hanging="480"/>
        <w:jc w:val="left"/>
        <w:rPr>
          <w:sz w:val="24"/>
        </w:rPr>
      </w:pPr>
      <w:hyperlink w:history="true" w:anchor="_bookmark28">
        <w:r>
          <w:rPr>
            <w:sz w:val="24"/>
          </w:rPr>
          <w:t>T</w:t>
        </w:r>
        <w:r>
          <w:rPr>
            <w:sz w:val="19"/>
          </w:rPr>
          <w:t>ABLA </w:t>
        </w:r>
        <w:r>
          <w:rPr>
            <w:sz w:val="24"/>
          </w:rPr>
          <w:t>5. C</w:t>
        </w:r>
        <w:r>
          <w:rPr>
            <w:sz w:val="19"/>
          </w:rPr>
          <w:t>ARACTERÍSTICAS PARACLÍNICAS PRESENTES AL DIAGNÓSTICO Y SU DISTRIBUCIÓN</w:t>
        </w:r>
      </w:hyperlink>
      <w:r>
        <w:rPr>
          <w:spacing w:val="1"/>
          <w:sz w:val="19"/>
        </w:rPr>
        <w:t> </w:t>
      </w:r>
      <w:hyperlink w:history="true" w:anchor="_bookmark28">
        <w:r>
          <w:rPr>
            <w:sz w:val="19"/>
          </w:rPr>
          <w:t>POR CUATRIENIOS DE LOS PACIENTES CON LEUCEMIA LINFOBLÁSTICA AGUDA ATENDIDOS</w:t>
        </w:r>
      </w:hyperlink>
      <w:r>
        <w:rPr>
          <w:spacing w:val="-45"/>
          <w:sz w:val="19"/>
        </w:rPr>
        <w:t> </w:t>
      </w:r>
      <w:hyperlink w:history="true" w:anchor="_bookmark28">
        <w:r>
          <w:rPr>
            <w:sz w:val="19"/>
          </w:rPr>
          <w:t>EN</w:t>
        </w:r>
        <w:r>
          <w:rPr>
            <w:spacing w:val="-1"/>
            <w:sz w:val="19"/>
          </w:rPr>
          <w:t> </w:t>
        </w:r>
        <w:r>
          <w:rPr>
            <w:sz w:val="19"/>
          </w:rPr>
          <w:t>LA</w:t>
        </w:r>
        <w:r>
          <w:rPr>
            <w:spacing w:val="-3"/>
            <w:sz w:val="19"/>
          </w:rPr>
          <w:t> </w:t>
        </w:r>
        <w:r>
          <w:rPr>
            <w:sz w:val="24"/>
          </w:rPr>
          <w:t>FOSCAL</w:t>
        </w:r>
        <w:r>
          <w:rPr>
            <w:spacing w:val="-12"/>
            <w:sz w:val="24"/>
          </w:rPr>
          <w:t> </w:t>
        </w:r>
        <w:r>
          <w:rPr>
            <w:sz w:val="19"/>
          </w:rPr>
          <w:t>EN</w:t>
        </w:r>
        <w:r>
          <w:rPr>
            <w:spacing w:val="-1"/>
            <w:sz w:val="19"/>
          </w:rPr>
          <w:t> </w:t>
        </w:r>
        <w:r>
          <w:rPr>
            <w:sz w:val="19"/>
          </w:rPr>
          <w:t>EL</w:t>
        </w:r>
        <w:r>
          <w:rPr>
            <w:spacing w:val="-2"/>
            <w:sz w:val="19"/>
          </w:rPr>
          <w:t> </w:t>
        </w:r>
        <w:r>
          <w:rPr>
            <w:sz w:val="19"/>
          </w:rPr>
          <w:t>PERIODO</w:t>
        </w:r>
        <w:r>
          <w:rPr>
            <w:spacing w:val="1"/>
            <w:sz w:val="19"/>
          </w:rPr>
          <w:t> </w:t>
        </w:r>
        <w:r>
          <w:rPr>
            <w:sz w:val="24"/>
          </w:rPr>
          <w:t>2013</w:t>
        </w:r>
        <w:r>
          <w:rPr>
            <w:spacing w:val="-14"/>
            <w:sz w:val="24"/>
          </w:rPr>
          <w:t> </w:t>
        </w:r>
        <w:r>
          <w:rPr>
            <w:sz w:val="24"/>
          </w:rPr>
          <w:t>-</w:t>
        </w:r>
        <w:r>
          <w:rPr>
            <w:spacing w:val="-13"/>
            <w:sz w:val="24"/>
          </w:rPr>
          <w:t> </w:t>
        </w:r>
        <w:r>
          <w:rPr>
            <w:sz w:val="24"/>
          </w:rPr>
          <w:t>2020.</w:t>
          <w:tab/>
        </w:r>
        <w:r>
          <w:rPr>
            <w:spacing w:val="-2"/>
            <w:sz w:val="24"/>
          </w:rPr>
          <w:t>35</w:t>
        </w:r>
      </w:hyperlink>
    </w:p>
    <w:p>
      <w:pPr>
        <w:spacing w:line="222" w:lineRule="exact" w:before="0"/>
        <w:ind w:left="480" w:right="0" w:firstLine="0"/>
        <w:jc w:val="left"/>
        <w:rPr>
          <w:sz w:val="24"/>
        </w:rPr>
      </w:pPr>
      <w:hyperlink w:history="true" w:anchor="_bookmark29">
        <w:r>
          <w:rPr>
            <w:sz w:val="24"/>
          </w:rPr>
          <w:t>T</w:t>
        </w:r>
        <w:r>
          <w:rPr>
            <w:sz w:val="19"/>
          </w:rPr>
          <w:t>ABLA </w:t>
        </w:r>
        <w:r>
          <w:rPr>
            <w:sz w:val="24"/>
          </w:rPr>
          <w:t>6.R</w:t>
        </w:r>
        <w:r>
          <w:rPr>
            <w:sz w:val="19"/>
          </w:rPr>
          <w:t>ESPUESTA</w:t>
        </w:r>
        <w:r>
          <w:rPr>
            <w:sz w:val="24"/>
          </w:rPr>
          <w:t>,</w:t>
        </w:r>
        <w:r>
          <w:rPr>
            <w:spacing w:val="-13"/>
            <w:sz w:val="24"/>
          </w:rPr>
          <w:t> </w:t>
        </w:r>
        <w:r>
          <w:rPr>
            <w:sz w:val="24"/>
          </w:rPr>
          <w:t>M</w:t>
        </w:r>
        <w:r>
          <w:rPr>
            <w:sz w:val="19"/>
          </w:rPr>
          <w:t>ORTALIDAD</w:t>
        </w:r>
        <w:r>
          <w:rPr>
            <w:sz w:val="24"/>
          </w:rPr>
          <w:t>,</w:t>
        </w:r>
        <w:r>
          <w:rPr>
            <w:spacing w:val="-13"/>
            <w:sz w:val="24"/>
          </w:rPr>
          <w:t> </w:t>
        </w:r>
        <w:r>
          <w:rPr>
            <w:sz w:val="19"/>
          </w:rPr>
          <w:t>RECAÍDA Y</w:t>
        </w:r>
        <w:r>
          <w:rPr>
            <w:spacing w:val="-4"/>
            <w:sz w:val="19"/>
          </w:rPr>
          <w:t> </w:t>
        </w:r>
        <w:r>
          <w:rPr>
            <w:sz w:val="19"/>
          </w:rPr>
          <w:t>SOBREVIDA</w:t>
        </w:r>
        <w:r>
          <w:rPr>
            <w:spacing w:val="-1"/>
            <w:sz w:val="19"/>
          </w:rPr>
          <w:t> </w:t>
        </w:r>
        <w:r>
          <w:rPr>
            <w:sz w:val="19"/>
          </w:rPr>
          <w:t>LIBRE</w:t>
        </w:r>
        <w:r>
          <w:rPr>
            <w:spacing w:val="-2"/>
            <w:sz w:val="19"/>
          </w:rPr>
          <w:t> </w:t>
        </w:r>
        <w:r>
          <w:rPr>
            <w:sz w:val="19"/>
          </w:rPr>
          <w:t>DE</w:t>
        </w:r>
        <w:r>
          <w:rPr>
            <w:spacing w:val="-4"/>
            <w:sz w:val="19"/>
          </w:rPr>
          <w:t> </w:t>
        </w:r>
        <w:r>
          <w:rPr>
            <w:sz w:val="19"/>
          </w:rPr>
          <w:t>ENFERMEDAD</w:t>
        </w:r>
        <w:r>
          <w:rPr>
            <w:spacing w:val="-4"/>
            <w:sz w:val="19"/>
          </w:rPr>
          <w:t> </w:t>
        </w:r>
        <w:r>
          <w:rPr>
            <w:sz w:val="19"/>
          </w:rPr>
          <w:t>A</w:t>
        </w:r>
        <w:r>
          <w:rPr>
            <w:spacing w:val="-2"/>
            <w:sz w:val="19"/>
          </w:rPr>
          <w:t> </w:t>
        </w:r>
        <w:r>
          <w:rPr>
            <w:sz w:val="24"/>
          </w:rPr>
          <w:t>12</w:t>
        </w:r>
      </w:hyperlink>
    </w:p>
    <w:p>
      <w:pPr>
        <w:tabs>
          <w:tab w:pos="9070" w:val="left" w:leader="dot"/>
        </w:tabs>
        <w:spacing w:line="357" w:lineRule="auto" w:before="141"/>
        <w:ind w:left="960" w:right="648" w:firstLine="0"/>
        <w:jc w:val="left"/>
        <w:rPr>
          <w:sz w:val="24"/>
        </w:rPr>
      </w:pPr>
      <w:hyperlink w:history="true" w:anchor="_bookmark29">
        <w:r>
          <w:rPr>
            <w:spacing w:val="-1"/>
            <w:sz w:val="19"/>
          </w:rPr>
          <w:t>MESES</w:t>
        </w:r>
        <w:r>
          <w:rPr>
            <w:spacing w:val="-1"/>
            <w:sz w:val="24"/>
          </w:rPr>
          <w:t>, </w:t>
        </w:r>
        <w:r>
          <w:rPr>
            <w:spacing w:val="-1"/>
            <w:sz w:val="19"/>
          </w:rPr>
          <w:t>DE </w:t>
        </w:r>
        <w:r>
          <w:rPr>
            <w:sz w:val="19"/>
          </w:rPr>
          <w:t>LOS PACIENTES ATENDIDOS EN LA </w:t>
        </w:r>
        <w:r>
          <w:rPr>
            <w:sz w:val="24"/>
          </w:rPr>
          <w:t>FOSCAL </w:t>
        </w:r>
        <w:r>
          <w:rPr>
            <w:sz w:val="19"/>
          </w:rPr>
          <w:t>EN EL PERIODO </w:t>
        </w:r>
        <w:r>
          <w:rPr>
            <w:sz w:val="24"/>
          </w:rPr>
          <w:t>2013-2020 </w:t>
        </w:r>
        <w:r>
          <w:rPr>
            <w:sz w:val="19"/>
          </w:rPr>
          <w:t>Y SU</w:t>
        </w:r>
      </w:hyperlink>
      <w:r>
        <w:rPr>
          <w:spacing w:val="1"/>
          <w:sz w:val="19"/>
        </w:rPr>
        <w:t> </w:t>
      </w:r>
      <w:hyperlink w:history="true" w:anchor="_bookmark29">
        <w:r>
          <w:rPr>
            <w:sz w:val="19"/>
          </w:rPr>
          <w:t>COMPARACIÓN</w:t>
        </w:r>
        <w:r>
          <w:rPr>
            <w:spacing w:val="-4"/>
            <w:sz w:val="19"/>
          </w:rPr>
          <w:t> </w:t>
        </w:r>
        <w:r>
          <w:rPr>
            <w:sz w:val="19"/>
          </w:rPr>
          <w:t>POR</w:t>
        </w:r>
        <w:r>
          <w:rPr>
            <w:spacing w:val="-1"/>
            <w:sz w:val="19"/>
          </w:rPr>
          <w:t> </w:t>
        </w:r>
        <w:r>
          <w:rPr>
            <w:sz w:val="19"/>
          </w:rPr>
          <w:t>CUATRIENIOS</w:t>
          <w:tab/>
        </w:r>
        <w:r>
          <w:rPr>
            <w:spacing w:val="-3"/>
            <w:sz w:val="24"/>
          </w:rPr>
          <w:t>36</w:t>
        </w:r>
      </w:hyperlink>
    </w:p>
    <w:p>
      <w:pPr>
        <w:tabs>
          <w:tab w:pos="9070" w:val="left" w:leader="dot"/>
        </w:tabs>
        <w:spacing w:line="360" w:lineRule="auto" w:before="5"/>
        <w:ind w:left="960" w:right="648" w:hanging="480"/>
        <w:jc w:val="left"/>
        <w:rPr>
          <w:sz w:val="24"/>
        </w:rPr>
      </w:pPr>
      <w:hyperlink w:history="true" w:anchor="_bookmark33">
        <w:r>
          <w:rPr>
            <w:spacing w:val="-1"/>
            <w:sz w:val="24"/>
          </w:rPr>
          <w:t>T</w:t>
        </w:r>
        <w:r>
          <w:rPr>
            <w:spacing w:val="-1"/>
            <w:sz w:val="19"/>
          </w:rPr>
          <w:t>ABLA </w:t>
        </w:r>
        <w:r>
          <w:rPr>
            <w:spacing w:val="-1"/>
            <w:sz w:val="24"/>
          </w:rPr>
          <w:t>7. </w:t>
        </w:r>
        <w:r>
          <w:rPr>
            <w:sz w:val="24"/>
          </w:rPr>
          <w:t>A</w:t>
        </w:r>
        <w:r>
          <w:rPr>
            <w:sz w:val="19"/>
          </w:rPr>
          <w:t>SOCIACIÓN ENTRE VARIABLES SOCIODEMOGRÁFICAS</w:t>
        </w:r>
        <w:r>
          <w:rPr>
            <w:sz w:val="24"/>
          </w:rPr>
          <w:t>, </w:t>
        </w:r>
        <w:r>
          <w:rPr>
            <w:sz w:val="19"/>
          </w:rPr>
          <w:t>CLÍNICAS E</w:t>
        </w:r>
      </w:hyperlink>
      <w:r>
        <w:rPr>
          <w:spacing w:val="1"/>
          <w:sz w:val="19"/>
        </w:rPr>
        <w:t> </w:t>
      </w:r>
      <w:hyperlink w:history="true" w:anchor="_bookmark33">
        <w:r>
          <w:rPr>
            <w:spacing w:val="-1"/>
            <w:sz w:val="19"/>
          </w:rPr>
          <w:t>INMUNOFENOTÍPICAS </w:t>
        </w:r>
        <w:r>
          <w:rPr>
            <w:sz w:val="19"/>
          </w:rPr>
          <w:t>CON MORTALIDAD Y RECAÍDA A </w:t>
        </w:r>
        <w:r>
          <w:rPr>
            <w:sz w:val="24"/>
          </w:rPr>
          <w:t>12 </w:t>
        </w:r>
        <w:r>
          <w:rPr>
            <w:sz w:val="19"/>
          </w:rPr>
          <w:t>MESES</w:t>
        </w:r>
        <w:r>
          <w:rPr>
            <w:sz w:val="24"/>
          </w:rPr>
          <w:t>, </w:t>
        </w:r>
        <w:r>
          <w:rPr>
            <w:sz w:val="19"/>
          </w:rPr>
          <w:t>EN PACIENTES</w:t>
        </w:r>
      </w:hyperlink>
      <w:r>
        <w:rPr>
          <w:spacing w:val="1"/>
          <w:sz w:val="19"/>
        </w:rPr>
        <w:t> </w:t>
      </w:r>
      <w:hyperlink w:history="true" w:anchor="_bookmark33">
        <w:r>
          <w:rPr>
            <w:sz w:val="19"/>
          </w:rPr>
          <w:t>ATENDIDOS</w:t>
        </w:r>
        <w:r>
          <w:rPr>
            <w:spacing w:val="-4"/>
            <w:sz w:val="19"/>
          </w:rPr>
          <w:t> </w:t>
        </w:r>
        <w:r>
          <w:rPr>
            <w:sz w:val="19"/>
          </w:rPr>
          <w:t>CON</w:t>
        </w:r>
        <w:r>
          <w:rPr>
            <w:spacing w:val="-4"/>
            <w:sz w:val="19"/>
          </w:rPr>
          <w:t> </w:t>
        </w:r>
        <w:r>
          <w:rPr>
            <w:sz w:val="19"/>
          </w:rPr>
          <w:t>DIAGNÓSTICO DE</w:t>
        </w:r>
        <w:r>
          <w:rPr>
            <w:spacing w:val="-2"/>
            <w:sz w:val="19"/>
          </w:rPr>
          <w:t> </w:t>
        </w:r>
        <w:r>
          <w:rPr>
            <w:sz w:val="24"/>
          </w:rPr>
          <w:t>LLA</w:t>
        </w:r>
        <w:r>
          <w:rPr>
            <w:spacing w:val="-14"/>
            <w:sz w:val="24"/>
          </w:rPr>
          <w:t> </w:t>
        </w:r>
        <w:r>
          <w:rPr>
            <w:sz w:val="19"/>
          </w:rPr>
          <w:t>EN</w:t>
        </w:r>
        <w:r>
          <w:rPr>
            <w:spacing w:val="-3"/>
            <w:sz w:val="19"/>
          </w:rPr>
          <w:t> </w:t>
        </w:r>
        <w:r>
          <w:rPr>
            <w:sz w:val="19"/>
          </w:rPr>
          <w:t>LA</w:t>
        </w:r>
        <w:r>
          <w:rPr>
            <w:spacing w:val="1"/>
            <w:sz w:val="19"/>
          </w:rPr>
          <w:t> </w:t>
        </w:r>
        <w:r>
          <w:rPr>
            <w:sz w:val="24"/>
          </w:rPr>
          <w:t>FOSCAL</w:t>
        </w:r>
        <w:r>
          <w:rPr>
            <w:spacing w:val="-11"/>
            <w:sz w:val="24"/>
          </w:rPr>
          <w:t> </w:t>
        </w:r>
        <w:r>
          <w:rPr>
            <w:sz w:val="19"/>
          </w:rPr>
          <w:t>EN EL</w:t>
        </w:r>
        <w:r>
          <w:rPr>
            <w:spacing w:val="-2"/>
            <w:sz w:val="19"/>
          </w:rPr>
          <w:t> </w:t>
        </w:r>
        <w:r>
          <w:rPr>
            <w:sz w:val="19"/>
          </w:rPr>
          <w:t>PERIODO</w:t>
        </w:r>
        <w:r>
          <w:rPr>
            <w:spacing w:val="2"/>
            <w:sz w:val="19"/>
          </w:rPr>
          <w:t> </w:t>
        </w:r>
        <w:r>
          <w:rPr>
            <w:sz w:val="24"/>
          </w:rPr>
          <w:t>2013-2020.</w:t>
          <w:tab/>
        </w:r>
        <w:r>
          <w:rPr>
            <w:spacing w:val="-3"/>
            <w:sz w:val="24"/>
          </w:rPr>
          <w:t>43</w:t>
        </w:r>
      </w:hyperlink>
    </w:p>
    <w:p>
      <w:pPr>
        <w:spacing w:after="0" w:line="360" w:lineRule="auto"/>
        <w:jc w:val="left"/>
        <w:rPr>
          <w:sz w:val="24"/>
        </w:rPr>
        <w:sectPr>
          <w:headerReference w:type="default" r:id="rId7"/>
          <w:headerReference w:type="even" r:id="rId8"/>
          <w:pgSz w:w="12240" w:h="15840"/>
          <w:pgMar w:header="756" w:footer="0" w:top="1300" w:bottom="280" w:left="1220" w:right="1060"/>
        </w:sectPr>
      </w:pPr>
    </w:p>
    <w:p>
      <w:pPr>
        <w:pStyle w:val="Heading1"/>
        <w:spacing w:before="100"/>
        <w:ind w:left="496" w:right="658"/>
        <w:jc w:val="center"/>
      </w:pPr>
      <w:r>
        <w:rPr/>
        <w:t>Lista</w:t>
      </w:r>
      <w:r>
        <w:rPr>
          <w:spacing w:val="-2"/>
        </w:rPr>
        <w:t> </w:t>
      </w:r>
      <w:r>
        <w:rPr/>
        <w:t>de figuras</w:t>
      </w:r>
    </w:p>
    <w:p>
      <w:pPr>
        <w:pStyle w:val="BodyText"/>
        <w:rPr>
          <w:b/>
        </w:rPr>
      </w:pPr>
    </w:p>
    <w:p>
      <w:pPr>
        <w:spacing w:before="0"/>
        <w:ind w:left="480" w:right="0" w:firstLine="0"/>
        <w:jc w:val="both"/>
        <w:rPr>
          <w:sz w:val="19"/>
        </w:rPr>
      </w:pPr>
      <w:hyperlink w:history="true" w:anchor="_bookmark8">
        <w:r>
          <w:rPr>
            <w:sz w:val="24"/>
          </w:rPr>
          <w:t>F</w:t>
        </w:r>
        <w:r>
          <w:rPr>
            <w:sz w:val="19"/>
          </w:rPr>
          <w:t>IGURA </w:t>
        </w:r>
        <w:r>
          <w:rPr>
            <w:sz w:val="24"/>
          </w:rPr>
          <w:t>1.</w:t>
        </w:r>
        <w:r>
          <w:rPr>
            <w:spacing w:val="-13"/>
            <w:sz w:val="24"/>
          </w:rPr>
          <w:t> </w:t>
        </w:r>
        <w:r>
          <w:rPr>
            <w:sz w:val="24"/>
          </w:rPr>
          <w:t>A</w:t>
        </w:r>
        <w:r>
          <w:rPr>
            <w:sz w:val="19"/>
          </w:rPr>
          <w:t>CUMULADO</w:t>
        </w:r>
        <w:r>
          <w:rPr>
            <w:spacing w:val="-5"/>
            <w:sz w:val="19"/>
          </w:rPr>
          <w:t> </w:t>
        </w:r>
        <w:r>
          <w:rPr>
            <w:sz w:val="19"/>
          </w:rPr>
          <w:t>DE</w:t>
        </w:r>
        <w:r>
          <w:rPr>
            <w:spacing w:val="-2"/>
            <w:sz w:val="19"/>
          </w:rPr>
          <w:t> </w:t>
        </w:r>
        <w:r>
          <w:rPr>
            <w:sz w:val="19"/>
          </w:rPr>
          <w:t>CASOS DE</w:t>
        </w:r>
        <w:r>
          <w:rPr>
            <w:spacing w:val="-5"/>
            <w:sz w:val="19"/>
          </w:rPr>
          <w:t> </w:t>
        </w:r>
        <w:r>
          <w:rPr>
            <w:sz w:val="24"/>
          </w:rPr>
          <w:t>L</w:t>
        </w:r>
        <w:r>
          <w:rPr>
            <w:sz w:val="19"/>
          </w:rPr>
          <w:t>EUCEMIA</w:t>
        </w:r>
        <w:r>
          <w:rPr>
            <w:spacing w:val="1"/>
            <w:sz w:val="19"/>
          </w:rPr>
          <w:t> </w:t>
        </w:r>
        <w:r>
          <w:rPr>
            <w:sz w:val="24"/>
          </w:rPr>
          <w:t>L</w:t>
        </w:r>
        <w:r>
          <w:rPr>
            <w:sz w:val="19"/>
          </w:rPr>
          <w:t>INFOBLÁSTICA</w:t>
        </w:r>
        <w:r>
          <w:rPr>
            <w:spacing w:val="1"/>
            <w:sz w:val="19"/>
          </w:rPr>
          <w:t> </w:t>
        </w:r>
        <w:r>
          <w:rPr>
            <w:sz w:val="24"/>
          </w:rPr>
          <w:t>A</w:t>
        </w:r>
        <w:r>
          <w:rPr>
            <w:sz w:val="19"/>
          </w:rPr>
          <w:t>GUDA</w:t>
        </w:r>
        <w:r>
          <w:rPr>
            <w:spacing w:val="-4"/>
            <w:sz w:val="19"/>
          </w:rPr>
          <w:t> </w:t>
        </w:r>
        <w:r>
          <w:rPr>
            <w:sz w:val="19"/>
          </w:rPr>
          <w:t>ATENDIDOS</w:t>
        </w:r>
        <w:r>
          <w:rPr>
            <w:spacing w:val="-4"/>
            <w:sz w:val="19"/>
          </w:rPr>
          <w:t> </w:t>
        </w:r>
        <w:r>
          <w:rPr>
            <w:sz w:val="19"/>
          </w:rPr>
          <w:t>EN</w:t>
        </w:r>
        <w:r>
          <w:rPr>
            <w:spacing w:val="-1"/>
            <w:sz w:val="19"/>
          </w:rPr>
          <w:t> </w:t>
        </w:r>
        <w:r>
          <w:rPr>
            <w:sz w:val="19"/>
          </w:rPr>
          <w:t>LA</w:t>
        </w:r>
      </w:hyperlink>
    </w:p>
    <w:p>
      <w:pPr>
        <w:tabs>
          <w:tab w:pos="9070" w:val="left" w:leader="dot"/>
        </w:tabs>
        <w:spacing w:before="140"/>
        <w:ind w:left="960" w:right="0" w:firstLine="0"/>
        <w:jc w:val="both"/>
        <w:rPr>
          <w:sz w:val="24"/>
        </w:rPr>
      </w:pPr>
      <w:hyperlink w:history="true" w:anchor="_bookmark8">
        <w:r>
          <w:rPr>
            <w:sz w:val="24"/>
          </w:rPr>
          <w:t>FOSCAL,</w:t>
        </w:r>
        <w:r>
          <w:rPr>
            <w:spacing w:val="-13"/>
            <w:sz w:val="24"/>
          </w:rPr>
          <w:t> </w:t>
        </w:r>
        <w:r>
          <w:rPr>
            <w:sz w:val="19"/>
          </w:rPr>
          <w:t>ENTRE</w:t>
        </w:r>
        <w:r>
          <w:rPr>
            <w:spacing w:val="-1"/>
            <w:sz w:val="19"/>
          </w:rPr>
          <w:t> </w:t>
        </w:r>
        <w:r>
          <w:rPr>
            <w:sz w:val="24"/>
          </w:rPr>
          <w:t>2013</w:t>
        </w:r>
        <w:r>
          <w:rPr>
            <w:spacing w:val="-13"/>
            <w:sz w:val="24"/>
          </w:rPr>
          <w:t> </w:t>
        </w:r>
        <w:r>
          <w:rPr>
            <w:sz w:val="19"/>
          </w:rPr>
          <w:t>Y</w:t>
        </w:r>
        <w:r>
          <w:rPr>
            <w:spacing w:val="1"/>
            <w:sz w:val="19"/>
          </w:rPr>
          <w:t> </w:t>
        </w:r>
        <w:r>
          <w:rPr>
            <w:sz w:val="24"/>
          </w:rPr>
          <w:t>2017.</w:t>
          <w:tab/>
          <w:t>14</w:t>
        </w:r>
      </w:hyperlink>
    </w:p>
    <w:p>
      <w:pPr>
        <w:tabs>
          <w:tab w:pos="9070" w:val="left" w:leader="dot"/>
        </w:tabs>
        <w:spacing w:before="137"/>
        <w:ind w:left="480" w:right="0" w:firstLine="0"/>
        <w:jc w:val="both"/>
        <w:rPr>
          <w:sz w:val="24"/>
        </w:rPr>
      </w:pPr>
      <w:hyperlink w:history="true" w:anchor="_bookmark24">
        <w:r>
          <w:rPr>
            <w:sz w:val="24"/>
          </w:rPr>
          <w:t>F</w:t>
        </w:r>
        <w:r>
          <w:rPr>
            <w:sz w:val="19"/>
          </w:rPr>
          <w:t>IGURA </w:t>
        </w:r>
        <w:r>
          <w:rPr>
            <w:sz w:val="24"/>
          </w:rPr>
          <w:t>2.</w:t>
        </w:r>
        <w:r>
          <w:rPr>
            <w:spacing w:val="-14"/>
            <w:sz w:val="24"/>
          </w:rPr>
          <w:t> </w:t>
        </w:r>
        <w:r>
          <w:rPr>
            <w:sz w:val="24"/>
          </w:rPr>
          <w:t>F</w:t>
        </w:r>
        <w:r>
          <w:rPr>
            <w:sz w:val="19"/>
          </w:rPr>
          <w:t>LUJOGRAMA</w:t>
        </w:r>
        <w:r>
          <w:rPr>
            <w:spacing w:val="-4"/>
            <w:sz w:val="19"/>
          </w:rPr>
          <w:t> </w:t>
        </w:r>
        <w:r>
          <w:rPr>
            <w:sz w:val="19"/>
          </w:rPr>
          <w:t>DE</w:t>
        </w:r>
        <w:r>
          <w:rPr>
            <w:spacing w:val="-6"/>
            <w:sz w:val="19"/>
          </w:rPr>
          <w:t> </w:t>
        </w:r>
        <w:r>
          <w:rPr>
            <w:sz w:val="19"/>
          </w:rPr>
          <w:t>PACIENTES</w:t>
        </w:r>
        <w:r>
          <w:rPr>
            <w:spacing w:val="-1"/>
            <w:sz w:val="19"/>
          </w:rPr>
          <w:t> </w:t>
        </w:r>
        <w:r>
          <w:rPr>
            <w:sz w:val="19"/>
          </w:rPr>
          <w:t>INCLUIDOS EN</w:t>
        </w:r>
        <w:r>
          <w:rPr>
            <w:spacing w:val="-1"/>
            <w:sz w:val="19"/>
          </w:rPr>
          <w:t> </w:t>
        </w:r>
        <w:r>
          <w:rPr>
            <w:sz w:val="19"/>
          </w:rPr>
          <w:t>EL</w:t>
        </w:r>
        <w:r>
          <w:rPr>
            <w:spacing w:val="-2"/>
            <w:sz w:val="19"/>
          </w:rPr>
          <w:t> </w:t>
        </w:r>
        <w:r>
          <w:rPr>
            <w:sz w:val="19"/>
          </w:rPr>
          <w:t>ESTUDIO</w:t>
          <w:tab/>
        </w:r>
        <w:r>
          <w:rPr>
            <w:sz w:val="24"/>
          </w:rPr>
          <w:t>28</w:t>
        </w:r>
      </w:hyperlink>
    </w:p>
    <w:p>
      <w:pPr>
        <w:spacing w:before="140"/>
        <w:ind w:left="480" w:right="0" w:firstLine="0"/>
        <w:jc w:val="both"/>
        <w:rPr>
          <w:sz w:val="19"/>
        </w:rPr>
      </w:pPr>
      <w:hyperlink w:history="true" w:anchor="_bookmark30">
        <w:r>
          <w:rPr>
            <w:spacing w:val="-1"/>
            <w:sz w:val="24"/>
          </w:rPr>
          <w:t>F</w:t>
        </w:r>
        <w:r>
          <w:rPr>
            <w:spacing w:val="-1"/>
            <w:sz w:val="19"/>
          </w:rPr>
          <w:t>IGURA</w:t>
        </w:r>
        <w:r>
          <w:rPr>
            <w:spacing w:val="2"/>
            <w:sz w:val="19"/>
          </w:rPr>
          <w:t> </w:t>
        </w:r>
        <w:r>
          <w:rPr>
            <w:spacing w:val="-1"/>
            <w:sz w:val="24"/>
          </w:rPr>
          <w:t>3.</w:t>
        </w:r>
        <w:r>
          <w:rPr>
            <w:spacing w:val="-12"/>
            <w:sz w:val="24"/>
          </w:rPr>
          <w:t> </w:t>
        </w:r>
        <w:r>
          <w:rPr>
            <w:sz w:val="24"/>
          </w:rPr>
          <w:t>C</w:t>
        </w:r>
        <w:r>
          <w:rPr>
            <w:sz w:val="19"/>
          </w:rPr>
          <w:t>OMPARACIÓN</w:t>
        </w:r>
        <w:r>
          <w:rPr>
            <w:spacing w:val="-3"/>
            <w:sz w:val="19"/>
          </w:rPr>
          <w:t> </w:t>
        </w:r>
        <w:r>
          <w:rPr>
            <w:sz w:val="19"/>
          </w:rPr>
          <w:t>DE</w:t>
        </w:r>
        <w:r>
          <w:rPr>
            <w:spacing w:val="-5"/>
            <w:sz w:val="19"/>
          </w:rPr>
          <w:t> </w:t>
        </w:r>
        <w:r>
          <w:rPr>
            <w:sz w:val="19"/>
          </w:rPr>
          <w:t>SOBREVIDA</w:t>
        </w:r>
        <w:r>
          <w:rPr>
            <w:spacing w:val="-3"/>
            <w:sz w:val="19"/>
          </w:rPr>
          <w:t> </w:t>
        </w:r>
        <w:r>
          <w:rPr>
            <w:sz w:val="19"/>
          </w:rPr>
          <w:t>AL</w:t>
        </w:r>
        <w:r>
          <w:rPr>
            <w:spacing w:val="-1"/>
            <w:sz w:val="19"/>
          </w:rPr>
          <w:t> </w:t>
        </w:r>
        <w:r>
          <w:rPr>
            <w:sz w:val="19"/>
          </w:rPr>
          <w:t>AÑO</w:t>
        </w:r>
        <w:r>
          <w:rPr>
            <w:sz w:val="24"/>
          </w:rPr>
          <w:t>,</w:t>
        </w:r>
        <w:r>
          <w:rPr>
            <w:spacing w:val="-16"/>
            <w:sz w:val="24"/>
          </w:rPr>
          <w:t> </w:t>
        </w:r>
        <w:r>
          <w:rPr>
            <w:sz w:val="19"/>
          </w:rPr>
          <w:t>DE</w:t>
        </w:r>
        <w:r>
          <w:rPr>
            <w:spacing w:val="-1"/>
            <w:sz w:val="19"/>
          </w:rPr>
          <w:t> </w:t>
        </w:r>
        <w:r>
          <w:rPr>
            <w:sz w:val="19"/>
          </w:rPr>
          <w:t>LOS</w:t>
        </w:r>
        <w:r>
          <w:rPr>
            <w:spacing w:val="-3"/>
            <w:sz w:val="19"/>
          </w:rPr>
          <w:t> </w:t>
        </w:r>
        <w:r>
          <w:rPr>
            <w:sz w:val="19"/>
          </w:rPr>
          <w:t>PACIENTES</w:t>
        </w:r>
        <w:r>
          <w:rPr>
            <w:spacing w:val="1"/>
            <w:sz w:val="19"/>
          </w:rPr>
          <w:t> </w:t>
        </w:r>
        <w:r>
          <w:rPr>
            <w:sz w:val="19"/>
          </w:rPr>
          <w:t>ATENDIDOS</w:t>
        </w:r>
        <w:r>
          <w:rPr>
            <w:spacing w:val="1"/>
            <w:sz w:val="19"/>
          </w:rPr>
          <w:t> </w:t>
        </w:r>
        <w:r>
          <w:rPr>
            <w:sz w:val="19"/>
          </w:rPr>
          <w:t>EN</w:t>
        </w:r>
        <w:r>
          <w:rPr>
            <w:spacing w:val="1"/>
            <w:sz w:val="19"/>
          </w:rPr>
          <w:t> </w:t>
        </w:r>
        <w:r>
          <w:rPr>
            <w:sz w:val="19"/>
          </w:rPr>
          <w:t>LA</w:t>
        </w:r>
      </w:hyperlink>
    </w:p>
    <w:p>
      <w:pPr>
        <w:spacing w:before="136"/>
        <w:ind w:left="960" w:right="0" w:firstLine="0"/>
        <w:jc w:val="both"/>
        <w:rPr>
          <w:sz w:val="24"/>
        </w:rPr>
      </w:pPr>
      <w:hyperlink w:history="true" w:anchor="_bookmark30">
        <w:r>
          <w:rPr>
            <w:sz w:val="24"/>
          </w:rPr>
          <w:t>FOSCAL</w:t>
        </w:r>
        <w:r>
          <w:rPr>
            <w:spacing w:val="-10"/>
            <w:sz w:val="24"/>
          </w:rPr>
          <w:t> </w:t>
        </w:r>
        <w:r>
          <w:rPr>
            <w:sz w:val="19"/>
          </w:rPr>
          <w:t>CON</w:t>
        </w:r>
        <w:r>
          <w:rPr>
            <w:spacing w:val="-3"/>
            <w:sz w:val="19"/>
          </w:rPr>
          <w:t> </w:t>
        </w:r>
        <w:r>
          <w:rPr>
            <w:sz w:val="19"/>
          </w:rPr>
          <w:t>DIAGNÓSTICO</w:t>
        </w:r>
        <w:r>
          <w:rPr>
            <w:spacing w:val="-3"/>
            <w:sz w:val="19"/>
          </w:rPr>
          <w:t> </w:t>
        </w:r>
        <w:r>
          <w:rPr>
            <w:sz w:val="19"/>
          </w:rPr>
          <w:t>DE</w:t>
        </w:r>
        <w:r>
          <w:rPr>
            <w:spacing w:val="-3"/>
            <w:sz w:val="19"/>
          </w:rPr>
          <w:t> </w:t>
        </w:r>
        <w:r>
          <w:rPr>
            <w:sz w:val="24"/>
          </w:rPr>
          <w:t>LLA,</w:t>
        </w:r>
        <w:r>
          <w:rPr>
            <w:spacing w:val="-12"/>
            <w:sz w:val="24"/>
          </w:rPr>
          <w:t> </w:t>
        </w:r>
        <w:r>
          <w:rPr>
            <w:sz w:val="19"/>
          </w:rPr>
          <w:t>EN</w:t>
        </w:r>
        <w:r>
          <w:rPr>
            <w:spacing w:val="-3"/>
            <w:sz w:val="19"/>
          </w:rPr>
          <w:t> </w:t>
        </w:r>
        <w:r>
          <w:rPr>
            <w:sz w:val="19"/>
          </w:rPr>
          <w:t>LOS</w:t>
        </w:r>
        <w:r>
          <w:rPr>
            <w:spacing w:val="-3"/>
            <w:sz w:val="19"/>
          </w:rPr>
          <w:t> </w:t>
        </w:r>
        <w:r>
          <w:rPr>
            <w:sz w:val="19"/>
          </w:rPr>
          <w:t>PERIODOS</w:t>
        </w:r>
        <w:r>
          <w:rPr>
            <w:spacing w:val="3"/>
            <w:sz w:val="19"/>
          </w:rPr>
          <w:t> </w:t>
        </w:r>
        <w:r>
          <w:rPr>
            <w:sz w:val="24"/>
          </w:rPr>
          <w:t>2013-2016</w:t>
        </w:r>
        <w:r>
          <w:rPr>
            <w:spacing w:val="-17"/>
            <w:sz w:val="24"/>
          </w:rPr>
          <w:t> </w:t>
        </w:r>
        <w:r>
          <w:rPr>
            <w:sz w:val="19"/>
          </w:rPr>
          <w:t>A</w:t>
        </w:r>
        <w:r>
          <w:rPr>
            <w:spacing w:val="2"/>
            <w:sz w:val="19"/>
          </w:rPr>
          <w:t> </w:t>
        </w:r>
        <w:r>
          <w:rPr>
            <w:sz w:val="24"/>
          </w:rPr>
          <w:t>2017-2020.     </w:t>
        </w:r>
        <w:r>
          <w:rPr>
            <w:spacing w:val="52"/>
            <w:sz w:val="24"/>
          </w:rPr>
          <w:t> </w:t>
        </w:r>
        <w:r>
          <w:rPr>
            <w:sz w:val="24"/>
          </w:rPr>
          <w:t>37</w:t>
        </w:r>
      </w:hyperlink>
    </w:p>
    <w:p>
      <w:pPr>
        <w:tabs>
          <w:tab w:pos="9070" w:val="left" w:leader="dot"/>
        </w:tabs>
        <w:spacing w:line="360" w:lineRule="auto" w:before="140"/>
        <w:ind w:left="960" w:right="648" w:hanging="480"/>
        <w:jc w:val="both"/>
        <w:rPr>
          <w:sz w:val="24"/>
        </w:rPr>
      </w:pPr>
      <w:hyperlink w:history="true" w:anchor="_bookmark31">
        <w:r>
          <w:rPr>
            <w:sz w:val="24"/>
          </w:rPr>
          <w:t>F</w:t>
        </w:r>
        <w:r>
          <w:rPr>
            <w:sz w:val="19"/>
          </w:rPr>
          <w:t>IGURA </w:t>
        </w:r>
        <w:r>
          <w:rPr>
            <w:sz w:val="24"/>
          </w:rPr>
          <w:t>4. C</w:t>
        </w:r>
        <w:r>
          <w:rPr>
            <w:sz w:val="19"/>
          </w:rPr>
          <w:t>OMPARACIÓN DE SOBREVIDA LIBRE DE ENFERMEDAD AL AÑO</w:t>
        </w:r>
        <w:r>
          <w:rPr>
            <w:sz w:val="24"/>
          </w:rPr>
          <w:t>, </w:t>
        </w:r>
        <w:r>
          <w:rPr>
            <w:sz w:val="19"/>
          </w:rPr>
          <w:t>DE LOS PACIENTES</w:t>
        </w:r>
      </w:hyperlink>
      <w:r>
        <w:rPr>
          <w:spacing w:val="1"/>
          <w:sz w:val="19"/>
        </w:rPr>
        <w:t> </w:t>
      </w:r>
      <w:hyperlink w:history="true" w:anchor="_bookmark31">
        <w:r>
          <w:rPr>
            <w:spacing w:val="-1"/>
            <w:sz w:val="19"/>
          </w:rPr>
          <w:t>ATENDIDOS EN LA </w:t>
        </w:r>
        <w:r>
          <w:rPr>
            <w:spacing w:val="-1"/>
            <w:sz w:val="24"/>
          </w:rPr>
          <w:t>FOSCAL </w:t>
        </w:r>
        <w:r>
          <w:rPr>
            <w:spacing w:val="-1"/>
            <w:sz w:val="19"/>
          </w:rPr>
          <w:t>CON DIAGNÓSTICO </w:t>
        </w:r>
        <w:r>
          <w:rPr>
            <w:sz w:val="19"/>
          </w:rPr>
          <w:t>DE </w:t>
        </w:r>
        <w:r>
          <w:rPr>
            <w:sz w:val="24"/>
          </w:rPr>
          <w:t>LLA, </w:t>
        </w:r>
        <w:r>
          <w:rPr>
            <w:sz w:val="19"/>
          </w:rPr>
          <w:t>EN LOS PERIODOS </w:t>
        </w:r>
        <w:r>
          <w:rPr>
            <w:sz w:val="24"/>
          </w:rPr>
          <w:t>2013-2016 </w:t>
        </w:r>
        <w:r>
          <w:rPr>
            <w:sz w:val="19"/>
          </w:rPr>
          <w:t>A</w:t>
        </w:r>
      </w:hyperlink>
      <w:r>
        <w:rPr>
          <w:spacing w:val="1"/>
          <w:sz w:val="19"/>
        </w:rPr>
        <w:t> </w:t>
      </w:r>
      <w:hyperlink w:history="true" w:anchor="_bookmark31">
        <w:r>
          <w:rPr>
            <w:sz w:val="24"/>
          </w:rPr>
          <w:t>2017-2020.</w:t>
          <w:tab/>
        </w:r>
        <w:r>
          <w:rPr>
            <w:spacing w:val="-3"/>
            <w:sz w:val="24"/>
          </w:rPr>
          <w:t>38</w:t>
        </w:r>
      </w:hyperlink>
    </w:p>
    <w:p>
      <w:pPr>
        <w:tabs>
          <w:tab w:pos="9070" w:val="left" w:leader="dot"/>
        </w:tabs>
        <w:spacing w:line="360" w:lineRule="auto" w:before="0"/>
        <w:ind w:left="960" w:right="648" w:hanging="480"/>
        <w:jc w:val="left"/>
        <w:rPr>
          <w:sz w:val="24"/>
        </w:rPr>
      </w:pPr>
      <w:hyperlink w:history="true" w:anchor="_bookmark32">
        <w:r>
          <w:rPr>
            <w:sz w:val="24"/>
          </w:rPr>
          <w:t>F</w:t>
        </w:r>
        <w:r>
          <w:rPr>
            <w:sz w:val="19"/>
          </w:rPr>
          <w:t>IGURA </w:t>
        </w:r>
        <w:r>
          <w:rPr>
            <w:sz w:val="24"/>
          </w:rPr>
          <w:t>5. F</w:t>
        </w:r>
        <w:r>
          <w:rPr>
            <w:sz w:val="19"/>
          </w:rPr>
          <w:t>ORREST PLOT</w:t>
        </w:r>
        <w:r>
          <w:rPr>
            <w:sz w:val="24"/>
          </w:rPr>
          <w:t>. A</w:t>
        </w:r>
        <w:r>
          <w:rPr>
            <w:sz w:val="19"/>
          </w:rPr>
          <w:t>SOCIACIÓN ENTRE VARIABLES SOCIODEMOGRÁFICAS</w:t>
        </w:r>
        <w:r>
          <w:rPr>
            <w:sz w:val="24"/>
          </w:rPr>
          <w:t>, </w:t>
        </w:r>
        <w:r>
          <w:rPr>
            <w:sz w:val="19"/>
          </w:rPr>
          <w:t>CLÍNICAS E</w:t>
        </w:r>
      </w:hyperlink>
      <w:r>
        <w:rPr>
          <w:spacing w:val="-45"/>
          <w:sz w:val="19"/>
        </w:rPr>
        <w:t> </w:t>
      </w:r>
      <w:hyperlink w:history="true" w:anchor="_bookmark32">
        <w:r>
          <w:rPr>
            <w:spacing w:val="-1"/>
            <w:sz w:val="19"/>
          </w:rPr>
          <w:t>INMUNOFENOTÍPICAS </w:t>
        </w:r>
        <w:r>
          <w:rPr>
            <w:sz w:val="19"/>
          </w:rPr>
          <w:t>CON MORTALIDAD Y RECAÍDA A </w:t>
        </w:r>
        <w:r>
          <w:rPr>
            <w:sz w:val="24"/>
          </w:rPr>
          <w:t>12 </w:t>
        </w:r>
        <w:r>
          <w:rPr>
            <w:sz w:val="19"/>
          </w:rPr>
          <w:t>MESES</w:t>
        </w:r>
        <w:r>
          <w:rPr>
            <w:sz w:val="24"/>
          </w:rPr>
          <w:t>, </w:t>
        </w:r>
        <w:r>
          <w:rPr>
            <w:sz w:val="19"/>
          </w:rPr>
          <w:t>EN PACIENTES</w:t>
        </w:r>
      </w:hyperlink>
      <w:r>
        <w:rPr>
          <w:spacing w:val="1"/>
          <w:sz w:val="19"/>
        </w:rPr>
        <w:t> </w:t>
      </w:r>
      <w:hyperlink w:history="true" w:anchor="_bookmark32">
        <w:r>
          <w:rPr>
            <w:sz w:val="19"/>
          </w:rPr>
          <w:t>ATENDIDOS</w:t>
        </w:r>
        <w:r>
          <w:rPr>
            <w:spacing w:val="-4"/>
            <w:sz w:val="19"/>
          </w:rPr>
          <w:t> </w:t>
        </w:r>
        <w:r>
          <w:rPr>
            <w:sz w:val="19"/>
          </w:rPr>
          <w:t>CON</w:t>
        </w:r>
        <w:r>
          <w:rPr>
            <w:spacing w:val="-4"/>
            <w:sz w:val="19"/>
          </w:rPr>
          <w:t> </w:t>
        </w:r>
        <w:r>
          <w:rPr>
            <w:sz w:val="19"/>
          </w:rPr>
          <w:t>DIAGNÓSTICO DE</w:t>
        </w:r>
        <w:r>
          <w:rPr>
            <w:spacing w:val="-2"/>
            <w:sz w:val="19"/>
          </w:rPr>
          <w:t> </w:t>
        </w:r>
        <w:r>
          <w:rPr>
            <w:sz w:val="24"/>
          </w:rPr>
          <w:t>LLA</w:t>
        </w:r>
        <w:r>
          <w:rPr>
            <w:spacing w:val="-14"/>
            <w:sz w:val="24"/>
          </w:rPr>
          <w:t> </w:t>
        </w:r>
        <w:r>
          <w:rPr>
            <w:sz w:val="19"/>
          </w:rPr>
          <w:t>EN</w:t>
        </w:r>
        <w:r>
          <w:rPr>
            <w:spacing w:val="-3"/>
            <w:sz w:val="19"/>
          </w:rPr>
          <w:t> </w:t>
        </w:r>
        <w:r>
          <w:rPr>
            <w:sz w:val="19"/>
          </w:rPr>
          <w:t>LA</w:t>
        </w:r>
        <w:r>
          <w:rPr>
            <w:spacing w:val="1"/>
            <w:sz w:val="19"/>
          </w:rPr>
          <w:t> </w:t>
        </w:r>
        <w:r>
          <w:rPr>
            <w:sz w:val="24"/>
          </w:rPr>
          <w:t>FOSCAL</w:t>
        </w:r>
        <w:r>
          <w:rPr>
            <w:spacing w:val="-11"/>
            <w:sz w:val="24"/>
          </w:rPr>
          <w:t> </w:t>
        </w:r>
        <w:r>
          <w:rPr>
            <w:sz w:val="19"/>
          </w:rPr>
          <w:t>EN EL</w:t>
        </w:r>
        <w:r>
          <w:rPr>
            <w:spacing w:val="-2"/>
            <w:sz w:val="19"/>
          </w:rPr>
          <w:t> </w:t>
        </w:r>
        <w:r>
          <w:rPr>
            <w:sz w:val="19"/>
          </w:rPr>
          <w:t>PERIODO</w:t>
        </w:r>
        <w:r>
          <w:rPr>
            <w:spacing w:val="2"/>
            <w:sz w:val="19"/>
          </w:rPr>
          <w:t> </w:t>
        </w:r>
        <w:r>
          <w:rPr>
            <w:sz w:val="24"/>
          </w:rPr>
          <w:t>2013-2020.</w:t>
          <w:tab/>
        </w:r>
        <w:r>
          <w:rPr>
            <w:spacing w:val="-3"/>
            <w:sz w:val="24"/>
          </w:rPr>
          <w:t>39</w:t>
        </w:r>
      </w:hyperlink>
    </w:p>
    <w:p>
      <w:pPr>
        <w:tabs>
          <w:tab w:pos="9070" w:val="left" w:leader="dot"/>
        </w:tabs>
        <w:spacing w:line="360" w:lineRule="auto" w:before="1"/>
        <w:ind w:left="960" w:right="648" w:hanging="480"/>
        <w:jc w:val="both"/>
        <w:rPr>
          <w:sz w:val="24"/>
        </w:rPr>
      </w:pPr>
      <w:hyperlink w:history="true" w:anchor="_bookmark34">
        <w:r>
          <w:rPr>
            <w:spacing w:val="-1"/>
            <w:sz w:val="24"/>
          </w:rPr>
          <w:t>F</w:t>
        </w:r>
        <w:r>
          <w:rPr>
            <w:spacing w:val="-1"/>
            <w:sz w:val="19"/>
          </w:rPr>
          <w:t>IGURA </w:t>
        </w:r>
        <w:r>
          <w:rPr>
            <w:spacing w:val="-1"/>
            <w:sz w:val="24"/>
          </w:rPr>
          <w:t>6. </w:t>
        </w:r>
        <w:r>
          <w:rPr>
            <w:sz w:val="24"/>
          </w:rPr>
          <w:t>S</w:t>
        </w:r>
        <w:r>
          <w:rPr>
            <w:sz w:val="19"/>
          </w:rPr>
          <w:t>OBREVIDA A </w:t>
        </w:r>
        <w:r>
          <w:rPr>
            <w:sz w:val="24"/>
          </w:rPr>
          <w:t>12 </w:t>
        </w:r>
        <w:r>
          <w:rPr>
            <w:sz w:val="19"/>
          </w:rPr>
          <w:t>MESES EN PACIENTES CON DIAGNÓSTICO DE </w:t>
        </w:r>
        <w:r>
          <w:rPr>
            <w:sz w:val="24"/>
          </w:rPr>
          <w:t>LLA </w:t>
        </w:r>
        <w:r>
          <w:rPr>
            <w:sz w:val="19"/>
          </w:rPr>
          <w:t>ATENDIDOS EN</w:t>
        </w:r>
      </w:hyperlink>
      <w:r>
        <w:rPr>
          <w:spacing w:val="1"/>
          <w:sz w:val="19"/>
        </w:rPr>
        <w:t> </w:t>
      </w:r>
      <w:hyperlink w:history="true" w:anchor="_bookmark34">
        <w:r>
          <w:rPr>
            <w:spacing w:val="-1"/>
            <w:sz w:val="19"/>
          </w:rPr>
          <w:t>LA </w:t>
        </w:r>
        <w:r>
          <w:rPr>
            <w:spacing w:val="-1"/>
            <w:sz w:val="24"/>
          </w:rPr>
          <w:t>FOSCAL </w:t>
        </w:r>
        <w:r>
          <w:rPr>
            <w:spacing w:val="-1"/>
            <w:sz w:val="19"/>
          </w:rPr>
          <w:t>EN </w:t>
        </w:r>
        <w:r>
          <w:rPr>
            <w:sz w:val="19"/>
          </w:rPr>
          <w:t>EL PERIODO </w:t>
        </w:r>
        <w:r>
          <w:rPr>
            <w:sz w:val="24"/>
          </w:rPr>
          <w:t>2013-2020, </w:t>
        </w:r>
        <w:r>
          <w:rPr>
            <w:sz w:val="19"/>
          </w:rPr>
          <w:t>BASADO EN PRESENTAR EDAD MAYOR O IGUAL</w:t>
        </w:r>
      </w:hyperlink>
      <w:r>
        <w:rPr>
          <w:spacing w:val="1"/>
          <w:sz w:val="19"/>
        </w:rPr>
        <w:t> </w:t>
      </w:r>
      <w:hyperlink w:history="true" w:anchor="_bookmark34">
        <w:r>
          <w:rPr>
            <w:sz w:val="19"/>
          </w:rPr>
          <w:t>A</w:t>
        </w:r>
        <w:r>
          <w:rPr>
            <w:spacing w:val="2"/>
            <w:sz w:val="19"/>
          </w:rPr>
          <w:t> </w:t>
        </w:r>
        <w:r>
          <w:rPr>
            <w:sz w:val="24"/>
          </w:rPr>
          <w:t>35</w:t>
        </w:r>
        <w:r>
          <w:rPr>
            <w:spacing w:val="-15"/>
            <w:sz w:val="24"/>
          </w:rPr>
          <w:t> </w:t>
        </w:r>
        <w:r>
          <w:rPr>
            <w:sz w:val="19"/>
          </w:rPr>
          <w:t>AÑOS</w:t>
        </w:r>
        <w:r>
          <w:rPr>
            <w:spacing w:val="2"/>
            <w:sz w:val="19"/>
          </w:rPr>
          <w:t> </w:t>
        </w:r>
        <w:r>
          <w:rPr>
            <w:sz w:val="19"/>
          </w:rPr>
          <w:t>AL</w:t>
        </w:r>
        <w:r>
          <w:rPr>
            <w:spacing w:val="-5"/>
            <w:sz w:val="19"/>
          </w:rPr>
          <w:t> </w:t>
        </w:r>
        <w:r>
          <w:rPr>
            <w:sz w:val="19"/>
          </w:rPr>
          <w:t>MOMENTO</w:t>
        </w:r>
        <w:r>
          <w:rPr>
            <w:spacing w:val="-2"/>
            <w:sz w:val="19"/>
          </w:rPr>
          <w:t> </w:t>
        </w:r>
        <w:r>
          <w:rPr>
            <w:sz w:val="19"/>
          </w:rPr>
          <w:t>DEL</w:t>
        </w:r>
        <w:r>
          <w:rPr>
            <w:spacing w:val="-5"/>
            <w:sz w:val="19"/>
          </w:rPr>
          <w:t> </w:t>
        </w:r>
        <w:r>
          <w:rPr>
            <w:sz w:val="19"/>
          </w:rPr>
          <w:t>DIAGNÓSTICO</w:t>
          <w:tab/>
        </w:r>
        <w:r>
          <w:rPr>
            <w:spacing w:val="-3"/>
            <w:sz w:val="24"/>
          </w:rPr>
          <w:t>44</w:t>
        </w:r>
      </w:hyperlink>
    </w:p>
    <w:p>
      <w:pPr>
        <w:tabs>
          <w:tab w:pos="9070" w:val="left" w:leader="dot"/>
        </w:tabs>
        <w:spacing w:line="360" w:lineRule="auto" w:before="0"/>
        <w:ind w:left="960" w:right="648" w:hanging="480"/>
        <w:jc w:val="both"/>
        <w:rPr>
          <w:sz w:val="24"/>
        </w:rPr>
      </w:pPr>
      <w:hyperlink w:history="true" w:anchor="_bookmark35">
        <w:r>
          <w:rPr>
            <w:spacing w:val="-1"/>
            <w:sz w:val="24"/>
          </w:rPr>
          <w:t>F</w:t>
        </w:r>
        <w:r>
          <w:rPr>
            <w:spacing w:val="-1"/>
            <w:sz w:val="19"/>
          </w:rPr>
          <w:t>IGURA </w:t>
        </w:r>
        <w:r>
          <w:rPr>
            <w:spacing w:val="-1"/>
            <w:sz w:val="24"/>
          </w:rPr>
          <w:t>7. </w:t>
        </w:r>
        <w:r>
          <w:rPr>
            <w:sz w:val="24"/>
          </w:rPr>
          <w:t>S</w:t>
        </w:r>
        <w:r>
          <w:rPr>
            <w:sz w:val="19"/>
          </w:rPr>
          <w:t>OBREVIDA A </w:t>
        </w:r>
        <w:r>
          <w:rPr>
            <w:sz w:val="24"/>
          </w:rPr>
          <w:t>12 </w:t>
        </w:r>
        <w:r>
          <w:rPr>
            <w:sz w:val="19"/>
          </w:rPr>
          <w:t>MESES EN PACIENTES CON DIAGNÓSTICO DE </w:t>
        </w:r>
        <w:r>
          <w:rPr>
            <w:sz w:val="24"/>
          </w:rPr>
          <w:t>LLA </w:t>
        </w:r>
        <w:r>
          <w:rPr>
            <w:sz w:val="19"/>
          </w:rPr>
          <w:t>ATENDIDOS EN</w:t>
        </w:r>
      </w:hyperlink>
      <w:r>
        <w:rPr>
          <w:spacing w:val="1"/>
          <w:sz w:val="19"/>
        </w:rPr>
        <w:t> </w:t>
      </w:r>
      <w:hyperlink w:history="true" w:anchor="_bookmark35">
        <w:r>
          <w:rPr>
            <w:spacing w:val="-1"/>
            <w:sz w:val="19"/>
          </w:rPr>
          <w:t>LA </w:t>
        </w:r>
        <w:r>
          <w:rPr>
            <w:spacing w:val="-1"/>
            <w:sz w:val="24"/>
          </w:rPr>
          <w:t>FOSCAL </w:t>
        </w:r>
        <w:r>
          <w:rPr>
            <w:spacing w:val="-1"/>
            <w:sz w:val="19"/>
          </w:rPr>
          <w:t>EN EL PERIODO </w:t>
        </w:r>
        <w:r>
          <w:rPr>
            <w:spacing w:val="-1"/>
            <w:sz w:val="24"/>
          </w:rPr>
          <w:t>2013-2020, </w:t>
        </w:r>
        <w:r>
          <w:rPr>
            <w:sz w:val="19"/>
          </w:rPr>
          <w:t>BASADO EN LA REALIZACIÓN DE TRASPLANTES</w:t>
        </w:r>
      </w:hyperlink>
      <w:r>
        <w:rPr>
          <w:spacing w:val="1"/>
          <w:sz w:val="19"/>
        </w:rPr>
        <w:t> </w:t>
      </w:r>
      <w:hyperlink w:history="true" w:anchor="_bookmark35">
        <w:r>
          <w:rPr>
            <w:sz w:val="19"/>
          </w:rPr>
          <w:t>HEMATOPOYÉTICOS</w:t>
          <w:tab/>
        </w:r>
        <w:r>
          <w:rPr>
            <w:spacing w:val="-3"/>
            <w:sz w:val="24"/>
          </w:rPr>
          <w:t>45</w:t>
        </w:r>
      </w:hyperlink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Heading1"/>
        <w:spacing w:line="480" w:lineRule="auto" w:before="100"/>
        <w:ind w:left="480" w:right="645"/>
        <w:jc w:val="both"/>
      </w:pPr>
      <w:r>
        <w:rPr/>
        <w:t>ENTREGA DE TRABAJOS DE GRADOS, TRABAJOS DE INVESTIGACIÓN O</w:t>
      </w:r>
      <w:r>
        <w:rPr>
          <w:spacing w:val="1"/>
        </w:rPr>
        <w:t> </w:t>
      </w:r>
      <w:r>
        <w:rPr/>
        <w:t>TESIS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AUTÓNOMA</w:t>
      </w:r>
      <w:r>
        <w:rPr>
          <w:spacing w:val="-3"/>
        </w:rPr>
        <w:t> </w:t>
      </w:r>
      <w:r>
        <w:rPr/>
        <w:t>DE BUCARAMANGA</w:t>
      </w:r>
      <w:r>
        <w:rPr>
          <w:spacing w:val="-2"/>
        </w:rPr>
        <w:t> </w:t>
      </w:r>
      <w:r>
        <w:rPr/>
        <w:t>(UNAB)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line="360" w:lineRule="auto" w:before="0"/>
        <w:ind w:left="480" w:right="642" w:firstLine="0"/>
        <w:jc w:val="both"/>
        <w:rPr>
          <w:b/>
          <w:sz w:val="24"/>
        </w:rPr>
      </w:pPr>
      <w:r>
        <w:rPr>
          <w:sz w:val="24"/>
        </w:rPr>
        <w:t>Yo, </w:t>
      </w:r>
      <w:r>
        <w:rPr>
          <w:b/>
          <w:sz w:val="24"/>
        </w:rPr>
        <w:t>SANDRA VANESSA RÍOS QUINTERO</w:t>
      </w:r>
      <w:r>
        <w:rPr>
          <w:sz w:val="24"/>
        </w:rPr>
        <w:t>, identificado con cédula de ciudadanía</w:t>
      </w:r>
      <w:r>
        <w:rPr>
          <w:spacing w:val="1"/>
          <w:sz w:val="24"/>
        </w:rPr>
        <w:t> </w:t>
      </w:r>
      <w:r>
        <w:rPr>
          <w:sz w:val="24"/>
        </w:rPr>
        <w:t>número 1.098.715.001 actuando en nombre propio, en mi calidad del autor del trabajo de</w:t>
      </w:r>
      <w:r>
        <w:rPr>
          <w:spacing w:val="1"/>
          <w:sz w:val="24"/>
        </w:rPr>
        <w:t> </w:t>
      </w:r>
      <w:r>
        <w:rPr>
          <w:sz w:val="24"/>
        </w:rPr>
        <w:t>grado denominado: </w:t>
      </w:r>
      <w:r>
        <w:rPr>
          <w:b/>
          <w:sz w:val="24"/>
        </w:rPr>
        <w:t>Caracterización epidemiológica de Leucemia Linfoide Aguda 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base 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 población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atendida 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 FOSCAL, 2017 - 2020</w:t>
      </w:r>
    </w:p>
    <w:p>
      <w:pPr>
        <w:pStyle w:val="BodyText"/>
        <w:spacing w:line="360" w:lineRule="auto" w:before="1"/>
        <w:ind w:left="480" w:right="636"/>
        <w:jc w:val="both"/>
      </w:pPr>
      <w:r>
        <w:rPr/>
        <w:t>Hago entrega del ejemplar respectivo y de sus anexos de ser el caso, en formato digital a la</w:t>
      </w:r>
      <w:r>
        <w:rPr>
          <w:spacing w:val="1"/>
        </w:rPr>
        <w:t> </w:t>
      </w:r>
      <w:r>
        <w:rPr>
          <w:b/>
        </w:rPr>
        <w:t>UNIVERSIDAD</w:t>
      </w:r>
      <w:r>
        <w:rPr>
          <w:b/>
          <w:spacing w:val="1"/>
        </w:rPr>
        <w:t> </w:t>
      </w:r>
      <w:r>
        <w:rPr>
          <w:b/>
        </w:rPr>
        <w:t>AUTÓNOMA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BUCARAMANGA</w:t>
      </w:r>
      <w:r>
        <w:rPr/>
        <w:t>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establecidos en la Ley 23 de 1982, Ley 44 de 1993, decisión Andina 351 de 1993, Decreto</w:t>
      </w:r>
      <w:r>
        <w:rPr>
          <w:spacing w:val="1"/>
        </w:rPr>
        <w:t> </w:t>
      </w:r>
      <w:r>
        <w:rPr/>
        <w:t>460 de 1995 y demás normas generales sobre la materia, utilice en todas sus formas, 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patrimoniales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(alquiler,</w:t>
      </w:r>
      <w:r>
        <w:rPr>
          <w:spacing w:val="1"/>
        </w:rPr>
        <w:t> </w:t>
      </w:r>
      <w:r>
        <w:rPr/>
        <w:t>préstamo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importación) que me corresponden como creador de la obra objeto del presente documento.</w:t>
      </w:r>
      <w:r>
        <w:rPr>
          <w:spacing w:val="-57"/>
        </w:rPr>
        <w:t> </w:t>
      </w:r>
      <w:r>
        <w:rPr/>
        <w:t>PARÁGRAFO: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 autorización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extensiva no</w:t>
      </w:r>
      <w:r>
        <w:rPr>
          <w:spacing w:val="1"/>
        </w:rPr>
        <w:t> </w:t>
      </w:r>
      <w:r>
        <w:rPr/>
        <w:t>sólo a</w:t>
      </w:r>
      <w:r>
        <w:rPr>
          <w:spacing w:val="1"/>
        </w:rPr>
        <w:t> </w:t>
      </w:r>
      <w:r>
        <w:rPr/>
        <w:t>las facultades y</w:t>
      </w:r>
      <w:r>
        <w:rPr>
          <w:spacing w:val="1"/>
        </w:rPr>
        <w:t> </w:t>
      </w:r>
      <w:r>
        <w:rPr/>
        <w:t>derechos de uso sobre la obra en formato o soporte material, sino también para formato</w:t>
      </w:r>
      <w:r>
        <w:rPr>
          <w:spacing w:val="1"/>
        </w:rPr>
        <w:t> </w:t>
      </w:r>
      <w:r>
        <w:rPr/>
        <w:t>virtual, electrónico, digital, óptico, uso en red, internet, extranet, intranet, etc., y en general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cualquier</w:t>
      </w:r>
      <w:r>
        <w:rPr>
          <w:spacing w:val="-12"/>
        </w:rPr>
        <w:t> </w:t>
      </w:r>
      <w:r>
        <w:rPr>
          <w:spacing w:val="-1"/>
        </w:rPr>
        <w:t>formato</w:t>
      </w:r>
      <w:r>
        <w:rPr>
          <w:spacing w:val="-17"/>
        </w:rPr>
        <w:t> </w:t>
      </w:r>
      <w:r>
        <w:rPr>
          <w:spacing w:val="-1"/>
        </w:rPr>
        <w:t>conocido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por</w:t>
      </w:r>
      <w:r>
        <w:rPr>
          <w:spacing w:val="-16"/>
        </w:rPr>
        <w:t> </w:t>
      </w:r>
      <w:r>
        <w:rPr/>
        <w:t>conocer.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AUTOR-ESTUDIANTE</w:t>
      </w:r>
      <w:r>
        <w:rPr>
          <w:spacing w:val="-11"/>
        </w:rPr>
        <w:t> </w:t>
      </w:r>
      <w:r>
        <w:rPr/>
        <w:t>MANIFIESTA:</w:t>
      </w:r>
      <w:r>
        <w:rPr>
          <w:spacing w:val="-58"/>
        </w:rPr>
        <w:t> </w:t>
      </w:r>
      <w:r>
        <w:rPr/>
        <w:t>que la obra de la presente autorización es original y la realizó sin violar o usurpar derechos</w:t>
      </w:r>
      <w:r>
        <w:rPr>
          <w:spacing w:val="1"/>
        </w:rPr>
        <w:t> </w:t>
      </w:r>
      <w:r>
        <w:rPr/>
        <w:t>de autor de terceros. EL ESTUDIANTE asumirá toda la responsabilidad y saldrá en defensa</w:t>
      </w:r>
      <w:r>
        <w:rPr>
          <w:spacing w:val="-57"/>
        </w:rPr>
        <w:t> </w:t>
      </w:r>
      <w:r>
        <w:rPr/>
        <w:t>de los derechos de su trabajo para todos los efectos, la universidad actuará como un tercero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fe.</w:t>
      </w:r>
    </w:p>
    <w:p>
      <w:pPr>
        <w:pStyle w:val="BodyText"/>
        <w:spacing w:line="362" w:lineRule="auto" w:before="1"/>
        <w:ind w:left="480" w:right="650"/>
        <w:jc w:val="both"/>
      </w:pPr>
      <w:r>
        <w:rPr/>
        <w:t>Para constancia se firma el presente documento en dos ejemplares del mismo valor, en</w:t>
      </w:r>
      <w:r>
        <w:rPr>
          <w:spacing w:val="1"/>
        </w:rPr>
        <w:t> </w:t>
      </w:r>
      <w:r>
        <w:rPr/>
        <w:t>Floridablanca,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ind w:left="480"/>
        <w:jc w:val="both"/>
      </w:pPr>
      <w:r>
        <w:rPr/>
        <w:t>EL</w:t>
      </w:r>
      <w:r>
        <w:rPr>
          <w:spacing w:val="-4"/>
        </w:rPr>
        <w:t> </w:t>
      </w:r>
      <w:r>
        <w:rPr/>
        <w:t>ESTUDIANTE:</w:t>
      </w:r>
    </w:p>
    <w:p>
      <w:pPr>
        <w:pStyle w:val="BodyText"/>
        <w:spacing w:before="136"/>
        <w:ind w:left="480"/>
        <w:jc w:val="both"/>
      </w:pPr>
      <w:r>
        <w:rPr/>
        <w:t>Sandra</w:t>
      </w:r>
      <w:r>
        <w:rPr>
          <w:spacing w:val="-1"/>
        </w:rPr>
        <w:t> </w:t>
      </w:r>
      <w:r>
        <w:rPr/>
        <w:t>Vanessa Ríos</w:t>
      </w:r>
      <w:r>
        <w:rPr>
          <w:spacing w:val="-4"/>
        </w:rPr>
        <w:t> </w:t>
      </w:r>
      <w:r>
        <w:rPr/>
        <w:t>Quintero</w:t>
      </w:r>
    </w:p>
    <w:p>
      <w:pPr>
        <w:spacing w:after="0"/>
        <w:jc w:val="both"/>
        <w:sectPr>
          <w:headerReference w:type="default" r:id="rId9"/>
          <w:headerReference w:type="even" r:id="rId10"/>
          <w:pgSz w:w="12240" w:h="15840"/>
          <w:pgMar w:header="756" w:footer="0" w:top="1300" w:bottom="280" w:left="1220" w:right="1060"/>
        </w:sect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100" w:after="0"/>
        <w:ind w:left="1201" w:right="0" w:hanging="361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P</w:t>
      </w:r>
      <w:r>
        <w:rPr/>
        <w:t>lanteamiento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justificación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problema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480" w:right="635" w:firstLine="720"/>
        <w:jc w:val="both"/>
      </w:pPr>
      <w:r>
        <w:rPr/>
        <w:t>La</w:t>
      </w:r>
      <w:r>
        <w:rPr>
          <w:spacing w:val="-2"/>
        </w:rPr>
        <w:t> </w:t>
      </w:r>
      <w:r>
        <w:rPr/>
        <w:t>Leucemia</w:t>
      </w:r>
      <w:r>
        <w:rPr>
          <w:spacing w:val="-5"/>
        </w:rPr>
        <w:t> </w:t>
      </w:r>
      <w:r>
        <w:rPr/>
        <w:t>Linfoblástica</w:t>
      </w:r>
      <w:r>
        <w:rPr>
          <w:spacing w:val="-1"/>
        </w:rPr>
        <w:t> </w:t>
      </w:r>
      <w:r>
        <w:rPr/>
        <w:t>Aguda</w:t>
      </w:r>
      <w:r>
        <w:rPr>
          <w:spacing w:val="-5"/>
        </w:rPr>
        <w:t> </w:t>
      </w:r>
      <w:r>
        <w:rPr/>
        <w:t>(LLA)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neoplasia</w:t>
      </w:r>
      <w:r>
        <w:rPr>
          <w:spacing w:val="-1"/>
        </w:rPr>
        <w:t> </w:t>
      </w:r>
      <w:r>
        <w:rPr/>
        <w:t>maligna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origina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un</w:t>
      </w:r>
      <w:r>
        <w:rPr>
          <w:spacing w:val="-2"/>
        </w:rPr>
        <w:t> </w:t>
      </w:r>
      <w:r>
        <w:rPr/>
        <w:t>progenitor</w:t>
      </w:r>
      <w:r>
        <w:rPr>
          <w:spacing w:val="-5"/>
        </w:rPr>
        <w:t> </w:t>
      </w:r>
      <w:r>
        <w:rPr/>
        <w:t>linfoide</w:t>
      </w:r>
      <w:r>
        <w:rPr>
          <w:spacing w:val="-4"/>
        </w:rPr>
        <w:t> </w:t>
      </w:r>
      <w:r>
        <w:rPr/>
        <w:t>B</w:t>
      </w:r>
      <w:r>
        <w:rPr>
          <w:spacing w:val="-1"/>
        </w:rPr>
        <w:t> </w:t>
      </w:r>
      <w:r>
        <w:rPr/>
        <w:t>o</w:t>
      </w:r>
      <w:r>
        <w:rPr>
          <w:spacing w:val="-6"/>
        </w:rPr>
        <w:t> </w:t>
      </w:r>
      <w:r>
        <w:rPr/>
        <w:t>T</w:t>
      </w:r>
      <w:r>
        <w:rPr>
          <w:spacing w:val="2"/>
        </w:rPr>
        <w:t> </w:t>
      </w:r>
      <w:r>
        <w:rPr/>
        <w:t>(1).</w:t>
      </w:r>
      <w:r>
        <w:rPr>
          <w:spacing w:val="-5"/>
        </w:rPr>
        <w:t> </w:t>
      </w:r>
      <w:r>
        <w:rPr/>
        <w:t>Esta</w:t>
      </w:r>
      <w:r>
        <w:rPr>
          <w:spacing w:val="-4"/>
        </w:rPr>
        <w:t> </w:t>
      </w:r>
      <w:r>
        <w:rPr/>
        <w:t>enfermedad</w:t>
      </w:r>
      <w:r>
        <w:rPr>
          <w:spacing w:val="-6"/>
        </w:rPr>
        <w:t> </w:t>
      </w:r>
      <w:r>
        <w:rPr/>
        <w:t>es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frecuente en</w:t>
      </w:r>
      <w:r>
        <w:rPr>
          <w:spacing w:val="-6"/>
        </w:rPr>
        <w:t> </w:t>
      </w:r>
      <w:r>
        <w:rPr/>
        <w:t>niños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adultos,</w:t>
      </w:r>
      <w:r>
        <w:rPr>
          <w:spacing w:val="-1"/>
        </w:rPr>
        <w:t> </w:t>
      </w:r>
      <w:r>
        <w:rPr/>
        <w:t>sin</w:t>
      </w:r>
      <w:r>
        <w:rPr>
          <w:spacing w:val="-58"/>
        </w:rPr>
        <w:t> </w:t>
      </w:r>
      <w:r>
        <w:rPr/>
        <w:t>embargo, el pronóstico en este último grupo etario es más adverso. En adultos la LLA se</w:t>
      </w:r>
      <w:r>
        <w:rPr>
          <w:spacing w:val="1"/>
        </w:rPr>
        <w:t> </w:t>
      </w:r>
      <w:r>
        <w:rPr/>
        <w:t>comporta como una enfermedad agresiva, en Estados Unidos la tasa de supervivencia libre</w:t>
      </w:r>
      <w:r>
        <w:rPr>
          <w:spacing w:val="1"/>
        </w:rPr>
        <w:t> </w:t>
      </w:r>
      <w:r>
        <w:rPr/>
        <w:t>de enfermedad es 80% y 40% para niños y adultos respectivamente (2). Para los pacientes</w:t>
      </w:r>
      <w:r>
        <w:rPr>
          <w:spacing w:val="1"/>
        </w:rPr>
        <w:t> </w:t>
      </w:r>
      <w:r>
        <w:rPr/>
        <w:t>que presentan recaída o son refractarios al tratamiento el pronóstico es más pobre, se han</w:t>
      </w:r>
      <w:r>
        <w:rPr>
          <w:spacing w:val="1"/>
        </w:rPr>
        <w:t> </w:t>
      </w:r>
      <w:r>
        <w:rPr/>
        <w:t>descrito</w:t>
      </w:r>
      <w:r>
        <w:rPr>
          <w:spacing w:val="-1"/>
        </w:rPr>
        <w:t> </w:t>
      </w:r>
      <w:r>
        <w:rPr/>
        <w:t>tasas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supervivencia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5 años</w:t>
      </w:r>
      <w:r>
        <w:rPr>
          <w:spacing w:val="-2"/>
        </w:rPr>
        <w:t> </w:t>
      </w:r>
      <w:r>
        <w:rPr/>
        <w:t>menores</w:t>
      </w:r>
      <w:r>
        <w:rPr>
          <w:spacing w:val="-2"/>
        </w:rPr>
        <w:t> </w:t>
      </w:r>
      <w:r>
        <w:rPr/>
        <w:t>al</w:t>
      </w:r>
      <w:r>
        <w:rPr>
          <w:spacing w:val="2"/>
        </w:rPr>
        <w:t> </w:t>
      </w:r>
      <w:r>
        <w:rPr/>
        <w:t>10% (3).</w:t>
      </w:r>
    </w:p>
    <w:p>
      <w:pPr>
        <w:pStyle w:val="BodyText"/>
        <w:spacing w:line="480" w:lineRule="auto" w:before="202"/>
        <w:ind w:left="480" w:right="634" w:firstLine="708"/>
        <w:jc w:val="both"/>
      </w:pPr>
      <w:r>
        <w:rPr/>
        <w:t>Como ha sido descrito en otros cánceres, la LLA es una enfermedad heterogénea y</w:t>
      </w:r>
      <w:r>
        <w:rPr>
          <w:spacing w:val="1"/>
        </w:rPr>
        <w:t> </w:t>
      </w:r>
      <w:r>
        <w:rPr/>
        <w:t>están implicados en la leucemogénesis</w:t>
      </w:r>
      <w:r>
        <w:rPr>
          <w:spacing w:val="1"/>
        </w:rPr>
        <w:t> </w:t>
      </w:r>
      <w:r>
        <w:rPr/>
        <w:t>diferentes factores genéticos y ambientales, 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desconocen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fisiopatológicos</w:t>
      </w:r>
      <w:r>
        <w:rPr>
          <w:spacing w:val="1"/>
        </w:rPr>
        <w:t> </w:t>
      </w:r>
      <w:r>
        <w:rPr/>
        <w:t>exactos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conllevan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enfermedad y por lo tanto existen múltiples protocolos quimioterapéuticos disponibles para</w:t>
      </w:r>
      <w:r>
        <w:rPr>
          <w:spacing w:val="1"/>
        </w:rPr>
        <w:t> </w:t>
      </w:r>
      <w:r>
        <w:rPr/>
        <w:t>su tratamiento (1). Dentro de las terapias disponibles, tres de ellas han impactado en la</w:t>
      </w:r>
      <w:r>
        <w:rPr>
          <w:spacing w:val="1"/>
        </w:rPr>
        <w:t> </w:t>
      </w:r>
      <w:r>
        <w:rPr/>
        <w:t>historia natural de la enfermedad: los inhibidores de tirosin kinasa (ITK) para el tratamiento</w:t>
      </w:r>
      <w:r>
        <w:rPr>
          <w:spacing w:val="-57"/>
        </w:rPr>
        <w:t> </w:t>
      </w:r>
      <w:r>
        <w:rPr/>
        <w:t>de LLA cromosoma philadelphia positivo, el trasplante de progenitores hematopoyéticos</w:t>
      </w:r>
      <w:r>
        <w:rPr>
          <w:spacing w:val="1"/>
        </w:rPr>
        <w:t> </w:t>
      </w:r>
      <w:r>
        <w:rPr/>
        <w:t>(TPH),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introducción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blinatumumab</w:t>
      </w:r>
      <w:r>
        <w:rPr>
          <w:spacing w:val="-13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manejo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pacientes</w:t>
      </w:r>
      <w:r>
        <w:rPr>
          <w:spacing w:val="-11"/>
        </w:rPr>
        <w:t> </w:t>
      </w:r>
      <w:r>
        <w:rPr/>
        <w:t>con</w:t>
      </w:r>
      <w:r>
        <w:rPr>
          <w:spacing w:val="-8"/>
        </w:rPr>
        <w:t> </w:t>
      </w:r>
      <w:r>
        <w:rPr/>
        <w:t>LLA cromosoma</w:t>
      </w:r>
      <w:r>
        <w:rPr>
          <w:spacing w:val="-57"/>
        </w:rPr>
        <w:t> </w:t>
      </w:r>
      <w:r>
        <w:rPr/>
        <w:t>philadelphia negativo en recaída o refractarios al tratamiento de inducción. Este último</w:t>
      </w:r>
      <w:r>
        <w:rPr>
          <w:spacing w:val="1"/>
        </w:rPr>
        <w:t> </w:t>
      </w:r>
      <w:r>
        <w:rPr/>
        <w:t>medicamento ha demostrado utilidad en varios estudios y en el año 2017 se introdujo a la</w:t>
      </w:r>
      <w:r>
        <w:rPr>
          <w:spacing w:val="1"/>
        </w:rPr>
        <w:t> </w:t>
      </w:r>
      <w:r>
        <w:rPr/>
        <w:t>práctica</w:t>
      </w:r>
      <w:r>
        <w:rPr>
          <w:spacing w:val="-4"/>
        </w:rPr>
        <w:t> </w:t>
      </w:r>
      <w:r>
        <w:rPr/>
        <w:t>clínica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-2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tratados</w:t>
      </w:r>
      <w:r>
        <w:rPr>
          <w:spacing w:val="-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FOSCAL (3).</w:t>
      </w:r>
    </w:p>
    <w:p>
      <w:pPr>
        <w:pStyle w:val="BodyText"/>
        <w:spacing w:line="480" w:lineRule="auto" w:before="202"/>
        <w:ind w:left="480" w:right="638" w:firstLine="720"/>
        <w:jc w:val="both"/>
      </w:pPr>
      <w:r>
        <w:rPr/>
        <w:t>La clínica FOSCAL es centro de referencia para enfermedades hematolinfoides del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oriente</w:t>
      </w:r>
      <w:r>
        <w:rPr>
          <w:spacing w:val="1"/>
        </w:rPr>
        <w:t> </w:t>
      </w:r>
      <w:r>
        <w:rPr/>
        <w:t>colombiano.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referencia,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constantemente</w:t>
      </w:r>
      <w:r>
        <w:rPr>
          <w:spacing w:val="28"/>
        </w:rPr>
        <w:t> </w:t>
      </w:r>
      <w:r>
        <w:rPr/>
        <w:t>buscan</w:t>
      </w:r>
      <w:r>
        <w:rPr>
          <w:spacing w:val="29"/>
        </w:rPr>
        <w:t> </w:t>
      </w:r>
      <w:r>
        <w:rPr/>
        <w:t>mejorar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atención,</w:t>
      </w:r>
      <w:r>
        <w:rPr>
          <w:spacing w:val="31"/>
        </w:rPr>
        <w:t> </w:t>
      </w:r>
      <w:r>
        <w:rPr/>
        <w:t>adherencia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protocolos,</w:t>
      </w:r>
      <w:r>
        <w:rPr>
          <w:spacing w:val="33"/>
        </w:rPr>
        <w:t> </w:t>
      </w:r>
      <w:r>
        <w:rPr/>
        <w:t>la</w:t>
      </w:r>
      <w:r>
        <w:rPr>
          <w:spacing w:val="25"/>
        </w:rPr>
        <w:t> </w:t>
      </w:r>
      <w:r>
        <w:rPr/>
        <w:t>humanización,</w:t>
      </w:r>
      <w:r>
        <w:rPr>
          <w:spacing w:val="32"/>
        </w:rPr>
        <w:t> </w:t>
      </w:r>
      <w:r>
        <w:rPr/>
        <w:t>la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5"/>
        <w:jc w:val="both"/>
      </w:pPr>
      <w:r>
        <w:rPr/>
        <w:t>oportunidad a tratamientos como el TPH, la incorporación de tecnologías dentro de las que</w:t>
      </w:r>
      <w:r>
        <w:rPr>
          <w:spacing w:val="1"/>
        </w:rPr>
        <w:t> </w:t>
      </w:r>
      <w:r>
        <w:rPr/>
        <w:t>cabe mencionar la introducción de la realización de citometría de flujo por el laboratorio</w:t>
      </w:r>
      <w:r>
        <w:rPr>
          <w:spacing w:val="1"/>
        </w:rPr>
        <w:t> </w:t>
      </w:r>
      <w:r>
        <w:rPr/>
        <w:t>Higuera</w:t>
      </w:r>
      <w:r>
        <w:rPr>
          <w:spacing w:val="-5"/>
        </w:rPr>
        <w:t> </w:t>
      </w:r>
      <w:r>
        <w:rPr/>
        <w:t>Escalante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11"/>
        </w:rPr>
        <w:t> </w:t>
      </w:r>
      <w:r>
        <w:rPr/>
        <w:t>2016,</w:t>
      </w:r>
      <w:r>
        <w:rPr>
          <w:spacing w:val="-7"/>
        </w:rPr>
        <w:t> </w:t>
      </w:r>
      <w:r>
        <w:rPr/>
        <w:t>entre</w:t>
      </w:r>
      <w:r>
        <w:rPr>
          <w:spacing w:val="-4"/>
        </w:rPr>
        <w:t> </w:t>
      </w:r>
      <w:r>
        <w:rPr/>
        <w:t>otros.</w:t>
      </w:r>
      <w:r>
        <w:rPr>
          <w:spacing w:val="-5"/>
        </w:rPr>
        <w:t> </w:t>
      </w:r>
      <w:r>
        <w:rPr/>
        <w:t>Revisar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7"/>
        </w:rPr>
        <w:t> </w:t>
      </w:r>
      <w:r>
        <w:rPr/>
        <w:t>obtenidos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base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anonimizada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clínicas,</w:t>
      </w:r>
      <w:r>
        <w:rPr>
          <w:spacing w:val="1"/>
        </w:rPr>
        <w:t> </w:t>
      </w:r>
      <w:r>
        <w:rPr/>
        <w:t>paraclínicas,</w:t>
      </w:r>
      <w:r>
        <w:rPr>
          <w:spacing w:val="1"/>
        </w:rPr>
        <w:t> </w:t>
      </w:r>
      <w:r>
        <w:rPr/>
        <w:t>sociodemográficas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citógenéticas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adultos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diagnóstico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LLA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clínica</w:t>
      </w:r>
      <w:r>
        <w:rPr>
          <w:spacing w:val="-57"/>
        </w:rPr>
        <w:t> </w:t>
      </w:r>
      <w:r>
        <w:rPr/>
        <w:t>FOSCAL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comparación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cuatrienios</w:t>
      </w:r>
      <w:r>
        <w:rPr>
          <w:spacing w:val="-5"/>
        </w:rPr>
        <w:t> </w:t>
      </w:r>
      <w:r>
        <w:rPr/>
        <w:t>desde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8"/>
        </w:rPr>
        <w:t> </w:t>
      </w:r>
      <w:r>
        <w:rPr/>
        <w:t>2013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junio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2020,</w:t>
      </w:r>
      <w:r>
        <w:rPr>
          <w:spacing w:val="-2"/>
        </w:rPr>
        <w:t> </w:t>
      </w:r>
      <w:r>
        <w:rPr/>
        <w:t>permitirá</w:t>
      </w:r>
      <w:r>
        <w:rPr>
          <w:spacing w:val="-1"/>
        </w:rPr>
        <w:t> </w:t>
      </w:r>
      <w:r>
        <w:rPr/>
        <w:t>dar</w:t>
      </w:r>
      <w:r>
        <w:rPr>
          <w:spacing w:val="-58"/>
        </w:rPr>
        <w:t> </w:t>
      </w:r>
      <w:r>
        <w:rPr/>
        <w:t>continuidad a una adecuada gestión del riesgo en términos de tratamiento oportuno que</w:t>
      </w:r>
      <w:r>
        <w:rPr>
          <w:spacing w:val="1"/>
        </w:rPr>
        <w:t> </w:t>
      </w:r>
      <w:r>
        <w:rPr/>
        <w:t>repercuta en la disminución de mortalidad y aumento en las tasas de sobrevida libre de</w:t>
      </w:r>
      <w:r>
        <w:rPr>
          <w:spacing w:val="1"/>
        </w:rPr>
        <w:t> </w:t>
      </w:r>
      <w:r>
        <w:rPr/>
        <w:t>enfermedad de</w:t>
      </w:r>
      <w:r>
        <w:rPr>
          <w:spacing w:val="-3"/>
        </w:rPr>
        <w:t> </w:t>
      </w:r>
      <w:r>
        <w:rPr/>
        <w:t>estos</w:t>
      </w:r>
      <w:r>
        <w:rPr>
          <w:spacing w:val="-2"/>
        </w:rPr>
        <w:t> </w:t>
      </w:r>
      <w:r>
        <w:rPr/>
        <w:t>pacientes.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M</w:t>
      </w:r>
      <w:r>
        <w:rPr/>
        <w:t>arco</w:t>
      </w:r>
      <w:r>
        <w:rPr>
          <w:spacing w:val="-2"/>
        </w:rPr>
        <w:t> </w:t>
      </w:r>
      <w:r>
        <w:rPr/>
        <w:t>teórico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sz w:val="24"/>
        </w:rPr>
        <w:t>L</w:t>
      </w:r>
      <w:r>
        <w:rPr>
          <w:sz w:val="24"/>
        </w:rPr>
        <w:t>eucemia</w:t>
      </w:r>
      <w:r>
        <w:rPr>
          <w:spacing w:val="-8"/>
          <w:sz w:val="24"/>
        </w:rPr>
        <w:t> </w:t>
      </w:r>
      <w:r>
        <w:rPr>
          <w:sz w:val="24"/>
        </w:rPr>
        <w:t>Linfoblástica</w:t>
      </w:r>
      <w:r>
        <w:rPr>
          <w:spacing w:val="-5"/>
          <w:sz w:val="24"/>
        </w:rPr>
        <w:t> </w:t>
      </w:r>
      <w:r>
        <w:rPr>
          <w:sz w:val="24"/>
        </w:rPr>
        <w:t>aguda</w:t>
      </w:r>
    </w:p>
    <w:p>
      <w:pPr>
        <w:pStyle w:val="BodyText"/>
      </w:pPr>
    </w:p>
    <w:p>
      <w:pPr>
        <w:pStyle w:val="BodyText"/>
        <w:spacing w:line="480" w:lineRule="auto"/>
        <w:ind w:left="480" w:right="638" w:firstLine="720"/>
        <w:jc w:val="both"/>
      </w:pPr>
      <w:r>
        <w:rPr/>
        <w:t>Las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hematológicas,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heterogéneo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provienen de la expansión clonal de las células hematopoyéticas. Dentro de este grupo se</w:t>
      </w:r>
      <w:r>
        <w:rPr>
          <w:spacing w:val="1"/>
        </w:rPr>
        <w:t> </w:t>
      </w:r>
      <w:r>
        <w:rPr/>
        <w:t>encuentran las leucemias agudas, las cuales resultan de la proliferación de precursores</w:t>
      </w:r>
      <w:r>
        <w:rPr>
          <w:spacing w:val="1"/>
        </w:rPr>
        <w:t> </w:t>
      </w:r>
      <w:r>
        <w:rPr/>
        <w:t>hematopoyéticos tanto de la línea linfoide como mieloide,</w:t>
      </w:r>
      <w:r>
        <w:rPr>
          <w:spacing w:val="1"/>
        </w:rPr>
        <w:t> </w:t>
      </w:r>
      <w:r>
        <w:rPr/>
        <w:t>y sus signos y síntomas son el</w:t>
      </w:r>
      <w:r>
        <w:rPr>
          <w:spacing w:val="1"/>
        </w:rPr>
        <w:t> </w:t>
      </w:r>
      <w:r>
        <w:rPr/>
        <w:t>resultado de la acumulación de células inmaduras en la médula ósea (4).</w:t>
      </w:r>
      <w:r>
        <w:rPr>
          <w:spacing w:val="1"/>
        </w:rPr>
        <w:t> </w:t>
      </w:r>
      <w:r>
        <w:rPr/>
        <w:t>Se le atribuye a</w:t>
      </w:r>
      <w:r>
        <w:rPr>
          <w:spacing w:val="1"/>
        </w:rPr>
        <w:t> </w:t>
      </w:r>
      <w:r>
        <w:rPr/>
        <w:t>Velpeau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primer</w:t>
      </w:r>
      <w:r>
        <w:rPr>
          <w:spacing w:val="-1"/>
        </w:rPr>
        <w:t> </w:t>
      </w:r>
      <w:r>
        <w:rPr/>
        <w:t>reporte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Leucemia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1827,</w:t>
      </w:r>
      <w:r>
        <w:rPr>
          <w:spacing w:val="-1"/>
        </w:rPr>
        <w:t> </w:t>
      </w:r>
      <w:r>
        <w:rPr/>
        <w:t>pero</w:t>
      </w:r>
      <w:r>
        <w:rPr>
          <w:spacing w:val="-5"/>
        </w:rPr>
        <w:t> </w:t>
      </w:r>
      <w:r>
        <w:rPr/>
        <w:t>fue hasta</w:t>
      </w:r>
      <w:r>
        <w:rPr>
          <w:spacing w:val="-4"/>
        </w:rPr>
        <w:t> </w:t>
      </w:r>
      <w:r>
        <w:rPr/>
        <w:t>1845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 reconoció</w:t>
      </w:r>
      <w:r>
        <w:rPr>
          <w:spacing w:val="-1"/>
        </w:rPr>
        <w:t> </w:t>
      </w:r>
      <w:r>
        <w:rPr/>
        <w:t>como</w:t>
      </w:r>
      <w:r>
        <w:rPr>
          <w:spacing w:val="-58"/>
        </w:rPr>
        <w:t> </w:t>
      </w:r>
      <w:r>
        <w:rPr/>
        <w:t>entidad distinta y hasta a principios del siglo XX se reconoció como una enfermedad y se</w:t>
      </w:r>
      <w:r>
        <w:rPr>
          <w:spacing w:val="1"/>
        </w:rPr>
        <w:t> </w:t>
      </w:r>
      <w:r>
        <w:rPr/>
        <w:t>comenzaron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tratamientos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leucémicos,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dirigidos</w:t>
      </w:r>
      <w:r>
        <w:rPr>
          <w:spacing w:val="1"/>
        </w:rPr>
        <w:t> </w:t>
      </w:r>
      <w:r>
        <w:rPr/>
        <w:t>principalmente</w:t>
      </w:r>
      <w:r>
        <w:rPr>
          <w:spacing w:val="-3"/>
        </w:rPr>
        <w:t> </w:t>
      </w:r>
      <w:r>
        <w:rPr/>
        <w:t>a niños</w:t>
      </w:r>
      <w:r>
        <w:rPr>
          <w:spacing w:val="59"/>
        </w:rPr>
        <w:t> </w:t>
      </w:r>
      <w:r>
        <w:rPr/>
        <w:t>(1).</w:t>
      </w:r>
    </w:p>
    <w:p>
      <w:pPr>
        <w:pStyle w:val="BodyText"/>
        <w:spacing w:line="480" w:lineRule="auto" w:before="2"/>
        <w:ind w:left="480" w:right="646" w:firstLine="720"/>
        <w:jc w:val="both"/>
      </w:pPr>
      <w:r>
        <w:rPr/>
        <w:t>Antes de 1960 las tasas de éxito terapéutico eran muy bajas, posterior a esta década</w:t>
      </w:r>
      <w:r>
        <w:rPr>
          <w:spacing w:val="1"/>
        </w:rPr>
        <w:t> </w:t>
      </w:r>
      <w:r>
        <w:rPr/>
        <w:t>se</w:t>
      </w:r>
      <w:r>
        <w:rPr>
          <w:spacing w:val="4"/>
        </w:rPr>
        <w:t> </w:t>
      </w:r>
      <w:r>
        <w:rPr/>
        <w:t>reportaron</w:t>
      </w:r>
      <w:r>
        <w:rPr>
          <w:spacing w:val="1"/>
        </w:rPr>
        <w:t> </w:t>
      </w:r>
      <w:r>
        <w:rPr/>
        <w:t>tasas</w:t>
      </w:r>
      <w:r>
        <w:rPr>
          <w:spacing w:val="59"/>
        </w:rPr>
        <w:t> </w:t>
      </w:r>
      <w:r>
        <w:rPr/>
        <w:t>de</w:t>
      </w:r>
      <w:r>
        <w:rPr>
          <w:spacing w:val="3"/>
        </w:rPr>
        <w:t> </w:t>
      </w:r>
      <w:r>
        <w:rPr/>
        <w:t>supervivencia</w:t>
      </w:r>
      <w:r>
        <w:rPr>
          <w:spacing w:val="3"/>
        </w:rPr>
        <w:t> </w:t>
      </w:r>
      <w:r>
        <w:rPr/>
        <w:t>libre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hasta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50%.</w:t>
      </w:r>
      <w:r>
        <w:rPr>
          <w:spacing w:val="1"/>
        </w:rPr>
        <w:t> </w:t>
      </w:r>
      <w:r>
        <w:rPr/>
        <w:t>Estas</w:t>
      </w:r>
      <w:r>
        <w:rPr>
          <w:spacing w:val="60"/>
        </w:rPr>
        <w:t> </w:t>
      </w:r>
      <w:r>
        <w:rPr/>
        <w:t>cifras</w:t>
      </w:r>
    </w:p>
    <w:p>
      <w:pPr>
        <w:spacing w:after="0" w:line="480" w:lineRule="auto"/>
        <w:jc w:val="both"/>
        <w:sectPr>
          <w:headerReference w:type="default" r:id="rId11"/>
          <w:headerReference w:type="even" r:id="rId12"/>
          <w:pgSz w:w="12240" w:h="15840"/>
          <w:pgMar w:header="756" w:footer="0" w:top="1300" w:bottom="280" w:left="1220" w:right="1060"/>
          <w:pgNumType w:start="7"/>
        </w:sectPr>
      </w:pPr>
    </w:p>
    <w:p>
      <w:pPr>
        <w:pStyle w:val="BodyText"/>
        <w:spacing w:line="480" w:lineRule="auto" w:before="100"/>
        <w:ind w:left="480" w:right="638"/>
        <w:jc w:val="both"/>
      </w:pPr>
      <w:r>
        <w:rPr/>
        <w:t>mejoraron con la introducción del trasplante de progenitores hematopoyéticos dos décadas</w:t>
      </w:r>
      <w:r>
        <w:rPr>
          <w:spacing w:val="1"/>
        </w:rPr>
        <w:t> </w:t>
      </w:r>
      <w:r>
        <w:rPr/>
        <w:t>más</w:t>
      </w:r>
      <w:r>
        <w:rPr>
          <w:spacing w:val="-14"/>
        </w:rPr>
        <w:t> </w:t>
      </w:r>
      <w:r>
        <w:rPr/>
        <w:t>tarde</w:t>
      </w:r>
      <w:r>
        <w:rPr>
          <w:spacing w:val="-9"/>
        </w:rPr>
        <w:t> </w:t>
      </w:r>
      <w:r>
        <w:rPr/>
        <w:t>(1).</w:t>
      </w:r>
      <w:r>
        <w:rPr>
          <w:spacing w:val="36"/>
        </w:rPr>
        <w:t> </w:t>
      </w:r>
      <w:r>
        <w:rPr/>
        <w:t>A</w:t>
      </w:r>
      <w:r>
        <w:rPr>
          <w:spacing w:val="-14"/>
        </w:rPr>
        <w:t> </w:t>
      </w:r>
      <w:r>
        <w:rPr/>
        <w:t>pesar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todos</w:t>
      </w:r>
      <w:r>
        <w:rPr>
          <w:spacing w:val="-14"/>
        </w:rPr>
        <w:t> </w:t>
      </w:r>
      <w:r>
        <w:rPr/>
        <w:t>estos</w:t>
      </w:r>
      <w:r>
        <w:rPr>
          <w:spacing w:val="-14"/>
        </w:rPr>
        <w:t> </w:t>
      </w:r>
      <w:r>
        <w:rPr/>
        <w:t>avances,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LLA</w:t>
      </w:r>
      <w:r>
        <w:rPr>
          <w:spacing w:val="-9"/>
        </w:rPr>
        <w:t> </w:t>
      </w:r>
      <w:r>
        <w:rPr/>
        <w:t>continúa</w:t>
      </w:r>
      <w:r>
        <w:rPr>
          <w:spacing w:val="-11"/>
        </w:rPr>
        <w:t> </w:t>
      </w:r>
      <w:r>
        <w:rPr/>
        <w:t>presentando</w:t>
      </w:r>
      <w:r>
        <w:rPr>
          <w:spacing w:val="-12"/>
        </w:rPr>
        <w:t> </w:t>
      </w:r>
      <w:r>
        <w:rPr/>
        <w:t>bajas</w:t>
      </w:r>
      <w:r>
        <w:rPr>
          <w:spacing w:val="-14"/>
        </w:rPr>
        <w:t> </w:t>
      </w:r>
      <w:r>
        <w:rPr/>
        <w:t>tasas</w:t>
      </w:r>
      <w:r>
        <w:rPr>
          <w:spacing w:val="-14"/>
        </w:rPr>
        <w:t> </w:t>
      </w:r>
      <w:r>
        <w:rPr/>
        <w:t>libres</w:t>
      </w:r>
      <w:r>
        <w:rPr>
          <w:spacing w:val="-58"/>
        </w:rPr>
        <w:t> </w:t>
      </w:r>
      <w:r>
        <w:rPr/>
        <w:t>de enfermedad y de</w:t>
      </w:r>
      <w:r>
        <w:rPr>
          <w:spacing w:val="1"/>
        </w:rPr>
        <w:t> </w:t>
      </w:r>
      <w:r>
        <w:rPr/>
        <w:t>supervivencia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largo</w:t>
      </w:r>
      <w:r>
        <w:rPr>
          <w:spacing w:val="-4"/>
        </w:rPr>
        <w:t> </w:t>
      </w:r>
      <w:r>
        <w:rPr/>
        <w:t>plazo.</w:t>
      </w:r>
    </w:p>
    <w:p>
      <w:pPr>
        <w:pStyle w:val="BodyText"/>
        <w:spacing w:line="480" w:lineRule="auto" w:before="1"/>
        <w:ind w:left="480" w:right="635" w:firstLine="720"/>
        <w:jc w:val="both"/>
      </w:pPr>
      <w:r>
        <w:rPr/>
        <w:t>La patogénesis de la LLA es compleja e involucra cambios citogenéticos – en su</w:t>
      </w:r>
      <w:r>
        <w:rPr>
          <w:spacing w:val="1"/>
        </w:rPr>
        <w:t> </w:t>
      </w:r>
      <w:r>
        <w:rPr/>
        <w:t>mayoría</w:t>
      </w:r>
      <w:r>
        <w:rPr>
          <w:spacing w:val="-9"/>
        </w:rPr>
        <w:t> </w:t>
      </w:r>
      <w:r>
        <w:rPr/>
        <w:t>adquiridos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epigenéticos.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cambios</w:t>
      </w:r>
      <w:r>
        <w:rPr>
          <w:spacing w:val="-8"/>
        </w:rPr>
        <w:t> </w:t>
      </w:r>
      <w:r>
        <w:rPr/>
        <w:t>cromosómicos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conllevan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desarrollo</w:t>
      </w:r>
      <w:r>
        <w:rPr>
          <w:spacing w:val="-57"/>
        </w:rPr>
        <w:t> </w:t>
      </w:r>
      <w:r>
        <w:rPr/>
        <w:t>de la</w:t>
      </w:r>
      <w:r>
        <w:rPr>
          <w:spacing w:val="1"/>
        </w:rPr>
        <w:t> </w:t>
      </w:r>
      <w:r>
        <w:rPr/>
        <w:t>leucemia</w:t>
      </w:r>
      <w:r>
        <w:rPr>
          <w:spacing w:val="1"/>
        </w:rPr>
        <w:t> </w:t>
      </w:r>
      <w:r>
        <w:rPr/>
        <w:t>incluyen anormalidades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480" w:lineRule="auto"/>
        <w:ind w:left="480" w:right="636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(ploidia)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cromosomas</w:t>
      </w:r>
      <w:r>
        <w:rPr>
          <w:spacing w:val="1"/>
        </w:rPr>
        <w:t> </w:t>
      </w:r>
      <w:r>
        <w:rPr/>
        <w:t>(inversiones,</w:t>
      </w:r>
      <w:r>
        <w:rPr>
          <w:spacing w:val="1"/>
        </w:rPr>
        <w:t> </w:t>
      </w:r>
      <w:r>
        <w:rPr/>
        <w:t>deleciones,</w:t>
      </w:r>
      <w:r>
        <w:rPr>
          <w:spacing w:val="1"/>
        </w:rPr>
        <w:t> </w:t>
      </w:r>
      <w:r>
        <w:rPr/>
        <w:t>mutaciones</w:t>
      </w:r>
      <w:r>
        <w:rPr>
          <w:spacing w:val="-5"/>
        </w:rPr>
        <w:t> </w:t>
      </w:r>
      <w:r>
        <w:rPr/>
        <w:t>puntuales,</w:t>
      </w:r>
      <w:r>
        <w:rPr>
          <w:spacing w:val="-8"/>
        </w:rPr>
        <w:t> </w:t>
      </w:r>
      <w:r>
        <w:rPr/>
        <w:t>amplificaciones)</w:t>
      </w:r>
      <w:r>
        <w:rPr>
          <w:spacing w:val="3"/>
        </w:rPr>
        <w:t> </w:t>
      </w:r>
      <w:r>
        <w:rPr/>
        <w:t>(1).</w:t>
      </w:r>
      <w:r>
        <w:rPr>
          <w:spacing w:val="-3"/>
        </w:rPr>
        <w:t> </w:t>
      </w:r>
      <w:r>
        <w:rPr/>
        <w:t>Estos</w:t>
      </w:r>
      <w:r>
        <w:rPr>
          <w:spacing w:val="-4"/>
        </w:rPr>
        <w:t> </w:t>
      </w:r>
      <w:r>
        <w:rPr/>
        <w:t>cambios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vez</w:t>
      </w:r>
      <w:r>
        <w:rPr>
          <w:spacing w:val="-6"/>
        </w:rPr>
        <w:t> </w:t>
      </w:r>
      <w:r>
        <w:rPr/>
        <w:t>conllevan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expresión</w:t>
      </w:r>
      <w:r>
        <w:rPr>
          <w:spacing w:val="-58"/>
        </w:rPr>
        <w:t> </w:t>
      </w:r>
      <w:r>
        <w:rPr/>
        <w:t>aberrante de oncoproteínas, pérdida de genes supresores y fusión de genes que codifican</w:t>
      </w:r>
      <w:r>
        <w:rPr>
          <w:spacing w:val="1"/>
        </w:rPr>
        <w:t> </w:t>
      </w:r>
      <w:r>
        <w:rPr/>
        <w:t>ciertas proteinas o tirosin kinasas indispensables en las vías de señalización involucradas en</w:t>
      </w:r>
      <w:r>
        <w:rPr>
          <w:spacing w:val="-57"/>
        </w:rPr>
        <w:t> </w:t>
      </w:r>
      <w:r>
        <w:rPr/>
        <w:t>la renovación, diferenciación</w:t>
      </w:r>
      <w:r>
        <w:rPr>
          <w:spacing w:val="1"/>
        </w:rPr>
        <w:t> </w:t>
      </w:r>
      <w:r>
        <w:rPr/>
        <w:t>y supervivencia celular. Un ejemplo de lo anterior 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traslocación t(9;22) que da origen a la proteína de fusión BCR/ABL, cuya función alterada</w:t>
      </w:r>
      <w:r>
        <w:rPr>
          <w:spacing w:val="1"/>
        </w:rPr>
        <w:t> </w:t>
      </w:r>
      <w:r>
        <w:rPr/>
        <w:t>genera cambios que controlan vías de apoptosis; el resultado final, es la proliferación y</w:t>
      </w:r>
      <w:r>
        <w:rPr>
          <w:spacing w:val="1"/>
        </w:rPr>
        <w:t> </w:t>
      </w:r>
      <w:r>
        <w:rPr/>
        <w:t>acumulación de células inmaduras en la médula ósea y otros tejidos hematopoyéticos (2).</w:t>
      </w:r>
      <w:r>
        <w:rPr>
          <w:spacing w:val="1"/>
        </w:rPr>
        <w:t> </w:t>
      </w:r>
      <w:r>
        <w:rPr/>
        <w:t>Otras alteraciones frecuentemente implicadas son la hipoploidia, hiperploidia, rearreglos</w:t>
      </w:r>
      <w:r>
        <w:rPr>
          <w:spacing w:val="1"/>
        </w:rPr>
        <w:t> </w:t>
      </w:r>
      <w:r>
        <w:rPr/>
        <w:t>cromosómicos</w:t>
      </w:r>
      <w:r>
        <w:rPr>
          <w:spacing w:val="-3"/>
        </w:rPr>
        <w:t> </w:t>
      </w:r>
      <w:r>
        <w:rPr/>
        <w:t>involucrando</w:t>
      </w:r>
      <w:r>
        <w:rPr>
          <w:spacing w:val="-5"/>
        </w:rPr>
        <w:t> </w:t>
      </w:r>
      <w:r>
        <w:rPr/>
        <w:t>el gen</w:t>
      </w:r>
      <w:r>
        <w:rPr>
          <w:spacing w:val="-1"/>
        </w:rPr>
        <w:t> </w:t>
      </w:r>
      <w:r>
        <w:rPr/>
        <w:t>MML</w:t>
      </w:r>
      <w:r>
        <w:rPr>
          <w:spacing w:val="1"/>
        </w:rPr>
        <w:t> </w:t>
      </w:r>
      <w:r>
        <w:rPr/>
        <w:t>(t(4;11), t(11;19),</w:t>
      </w:r>
      <w:r>
        <w:rPr>
          <w:spacing w:val="-5"/>
        </w:rPr>
        <w:t> </w:t>
      </w:r>
      <w:r>
        <w:rPr/>
        <w:t>t(9;11)),</w:t>
      </w:r>
      <w:r>
        <w:rPr>
          <w:spacing w:val="-4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line="480" w:lineRule="auto" w:before="2"/>
        <w:ind w:left="480" w:right="642" w:firstLine="720"/>
        <w:jc w:val="both"/>
      </w:pPr>
      <w:r>
        <w:rPr/>
        <w:t>En general los síntomas de los pacientes con leucemia aguda pueden ser explicados</w:t>
      </w:r>
      <w:r>
        <w:rPr>
          <w:spacing w:val="1"/>
        </w:rPr>
        <w:t> </w:t>
      </w:r>
      <w:r>
        <w:rPr/>
        <w:t>por la hiperproliferación de células inmaduras que ocupan la médula ósea y reemplazan las</w:t>
      </w:r>
      <w:r>
        <w:rPr>
          <w:spacing w:val="1"/>
        </w:rPr>
        <w:t> </w:t>
      </w:r>
      <w:r>
        <w:rPr/>
        <w:t>células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/>
        <w:t>mutadas,</w:t>
      </w:r>
      <w:r>
        <w:rPr>
          <w:spacing w:val="-11"/>
        </w:rPr>
        <w:t> </w:t>
      </w:r>
      <w:r>
        <w:rPr/>
        <w:t>generando</w:t>
      </w:r>
      <w:r>
        <w:rPr>
          <w:spacing w:val="-11"/>
        </w:rPr>
        <w:t> </w:t>
      </w:r>
      <w:r>
        <w:rPr/>
        <w:t>por</w:t>
      </w:r>
      <w:r>
        <w:rPr>
          <w:spacing w:val="-14"/>
        </w:rPr>
        <w:t> </w:t>
      </w:r>
      <w:r>
        <w:rPr/>
        <w:t>lo</w:t>
      </w:r>
      <w:r>
        <w:rPr>
          <w:spacing w:val="-10"/>
        </w:rPr>
        <w:t> </w:t>
      </w:r>
      <w:r>
        <w:rPr/>
        <w:t>tanto</w:t>
      </w:r>
      <w:r>
        <w:rPr>
          <w:spacing w:val="-13"/>
        </w:rPr>
        <w:t> </w:t>
      </w:r>
      <w:r>
        <w:rPr/>
        <w:t>citopenias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lugar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síntomas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/>
        <w:t>astenia,</w:t>
      </w:r>
      <w:r>
        <w:rPr>
          <w:spacing w:val="-58"/>
        </w:rPr>
        <w:t> </w:t>
      </w:r>
      <w:r>
        <w:rPr/>
        <w:t>adinamia, sangrados, e infecciones. La gravedad de los síntomas reflejan el grado de fallo</w:t>
      </w:r>
      <w:r>
        <w:rPr>
          <w:spacing w:val="1"/>
        </w:rPr>
        <w:t> </w:t>
      </w:r>
      <w:r>
        <w:rPr/>
        <w:t>medular y de invasión de</w:t>
      </w:r>
      <w:r>
        <w:rPr>
          <w:spacing w:val="1"/>
        </w:rPr>
        <w:t> </w:t>
      </w:r>
      <w:r>
        <w:rPr/>
        <w:t>tejidos hematopoyéticos</w:t>
      </w:r>
      <w:r>
        <w:rPr>
          <w:spacing w:val="-2"/>
        </w:rPr>
        <w:t> </w:t>
      </w:r>
      <w:r>
        <w:rPr/>
        <w:t>extramedulares.</w:t>
      </w:r>
    </w:p>
    <w:p>
      <w:pPr>
        <w:pStyle w:val="BodyText"/>
        <w:spacing w:line="480" w:lineRule="auto" w:before="1"/>
        <w:ind w:left="480" w:right="638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linfoblastos</w:t>
      </w:r>
      <w:r>
        <w:rPr>
          <w:spacing w:val="1"/>
        </w:rPr>
        <w:t> </w:t>
      </w:r>
      <w:r>
        <w:rPr/>
        <w:t>inmunofenotípicamente característicos en médula ósea. Otros tejidos y sangre périferica</w:t>
      </w:r>
      <w:r>
        <w:rPr>
          <w:spacing w:val="1"/>
        </w:rPr>
        <w:t> </w:t>
      </w:r>
      <w:r>
        <w:rPr/>
        <w:t>pueden ser</w:t>
      </w:r>
      <w:r>
        <w:rPr>
          <w:spacing w:val="1"/>
        </w:rPr>
        <w:t> </w:t>
      </w:r>
      <w:r>
        <w:rPr/>
        <w:t>utilizados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diagnóstico,</w:t>
      </w:r>
      <w:r>
        <w:rPr>
          <w:spacing w:val="-3"/>
        </w:rPr>
        <w:t> </w:t>
      </w:r>
      <w:r>
        <w:rPr/>
        <w:t>pero</w:t>
      </w:r>
      <w:r>
        <w:rPr>
          <w:spacing w:val="3"/>
        </w:rPr>
        <w:t> </w:t>
      </w:r>
      <w:r>
        <w:rPr/>
        <w:t>las guías recomiendan</w:t>
      </w:r>
      <w:r>
        <w:rPr>
          <w:spacing w:val="5"/>
        </w:rPr>
        <w:t> </w:t>
      </w:r>
      <w:r>
        <w:rPr/>
        <w:t>realizar siempre</w:t>
      </w:r>
      <w:r>
        <w:rPr>
          <w:spacing w:val="-1"/>
        </w:rPr>
        <w:t> </w:t>
      </w:r>
      <w:r>
        <w:rPr/>
        <w:t>estudio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0"/>
      </w:pPr>
      <w:r>
        <w:rPr/>
        <w:t>de</w:t>
      </w:r>
      <w:r>
        <w:rPr>
          <w:spacing w:val="-8"/>
        </w:rPr>
        <w:t> </w:t>
      </w:r>
      <w:r>
        <w:rPr/>
        <w:t>médula</w:t>
      </w:r>
      <w:r>
        <w:rPr>
          <w:spacing w:val="-8"/>
        </w:rPr>
        <w:t> </w:t>
      </w:r>
      <w:r>
        <w:rPr/>
        <w:t>ósea</w:t>
      </w:r>
      <w:r>
        <w:rPr>
          <w:spacing w:val="-6"/>
        </w:rPr>
        <w:t> </w:t>
      </w:r>
      <w:r>
        <w:rPr/>
        <w:t>(5).</w:t>
      </w:r>
      <w:r>
        <w:rPr>
          <w:spacing w:val="43"/>
        </w:rPr>
        <w:t> </w:t>
      </w:r>
      <w:r>
        <w:rPr/>
        <w:t>La</w:t>
      </w:r>
      <w:r>
        <w:rPr>
          <w:spacing w:val="-8"/>
        </w:rPr>
        <w:t> </w:t>
      </w:r>
      <w:r>
        <w:rPr/>
        <w:t>OMS</w:t>
      </w:r>
      <w:r>
        <w:rPr>
          <w:spacing w:val="-11"/>
        </w:rPr>
        <w:t> </w:t>
      </w:r>
      <w:r>
        <w:rPr/>
        <w:t>clasifica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LLA</w:t>
      </w:r>
      <w:r>
        <w:rPr>
          <w:spacing w:val="-7"/>
        </w:rPr>
        <w:t> </w:t>
      </w:r>
      <w:r>
        <w:rPr/>
        <w:t>según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linaje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B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siguiente</w:t>
      </w:r>
      <w:r>
        <w:rPr>
          <w:spacing w:val="-11"/>
        </w:rPr>
        <w:t> </w:t>
      </w:r>
      <w:r>
        <w:rPr/>
        <w:t>manera</w:t>
      </w:r>
      <w:r>
        <w:rPr>
          <w:spacing w:val="-57"/>
        </w:rPr>
        <w:t> </w:t>
      </w:r>
      <w:r>
        <w:rPr/>
        <w:t>(Tabla</w:t>
      </w:r>
      <w:r>
        <w:rPr>
          <w:spacing w:val="1"/>
        </w:rPr>
        <w:t> </w:t>
      </w:r>
      <w:r>
        <w:rPr/>
        <w:t>1)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480" w:right="0" w:firstLine="0"/>
        <w:jc w:val="left"/>
        <w:rPr>
          <w:i/>
          <w:sz w:val="24"/>
        </w:rPr>
      </w:pPr>
      <w:bookmarkStart w:name="_bookmark3" w:id="7"/>
      <w:bookmarkEnd w:id="7"/>
      <w:r>
        <w:rPr/>
      </w:r>
      <w:r>
        <w:rPr>
          <w:i/>
          <w:color w:val="44536A"/>
          <w:sz w:val="24"/>
        </w:rPr>
        <w:t>Tabla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1.</w:t>
      </w:r>
    </w:p>
    <w:p>
      <w:pPr>
        <w:spacing w:before="200"/>
        <w:ind w:left="480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Clasificación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OMS.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Revisión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2016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-5"/>
          <w:sz w:val="24"/>
        </w:rPr>
        <w:t> </w:t>
      </w:r>
      <w:r>
        <w:rPr>
          <w:i/>
          <w:color w:val="44536A"/>
          <w:sz w:val="24"/>
        </w:rPr>
        <w:t>leucemias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agudas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1576802</wp:posOffset>
            </wp:positionH>
            <wp:positionV relativeFrom="paragraph">
              <wp:posOffset>156120</wp:posOffset>
            </wp:positionV>
            <wp:extent cx="4657032" cy="2792253"/>
            <wp:effectExtent l="0" t="0" r="0" b="0"/>
            <wp:wrapTopAndBottom/>
            <wp:docPr id="1" name="image1.jpeg" descr="Imagen que contiene captura de pantalla, texto, periódic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32" cy="279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4"/>
        <w:ind w:left="3039" w:right="3198"/>
        <w:jc w:val="center"/>
      </w:pPr>
      <w:r>
        <w:rPr/>
        <w:t>Tomado</w:t>
      </w:r>
      <w:r>
        <w:rPr>
          <w:spacing w:val="-2"/>
        </w:rPr>
        <w:t> </w:t>
      </w:r>
      <w:r>
        <w:rPr/>
        <w:t>de referencia</w:t>
      </w:r>
      <w:r>
        <w:rPr>
          <w:spacing w:val="3"/>
        </w:rPr>
        <w:t> </w:t>
      </w:r>
      <w:r>
        <w:rPr/>
        <w:t>(6).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841" w:val="left" w:leader="none"/>
        </w:tabs>
        <w:spacing w:line="240" w:lineRule="auto" w:before="167" w:after="0"/>
        <w:ind w:left="840" w:right="0" w:hanging="361"/>
        <w:jc w:val="left"/>
        <w:rPr>
          <w:sz w:val="24"/>
        </w:rPr>
      </w:pPr>
      <w:bookmarkStart w:name="_bookmark4" w:id="8"/>
      <w:bookmarkEnd w:id="8"/>
      <w:r>
        <w:rPr/>
      </w:r>
      <w:bookmarkStart w:name="_bookmark4" w:id="9"/>
      <w:bookmarkEnd w:id="9"/>
      <w:r>
        <w:rPr>
          <w:sz w:val="24"/>
        </w:rPr>
        <w:t>T</w:t>
      </w:r>
      <w:r>
        <w:rPr>
          <w:sz w:val="24"/>
        </w:rPr>
        <w:t>ratamiento</w:t>
      </w:r>
    </w:p>
    <w:p>
      <w:pPr>
        <w:pStyle w:val="BodyText"/>
      </w:pPr>
    </w:p>
    <w:p>
      <w:pPr>
        <w:pStyle w:val="BodyText"/>
        <w:spacing w:line="480" w:lineRule="auto"/>
        <w:ind w:left="480" w:right="633" w:firstLine="720"/>
        <w:jc w:val="both"/>
      </w:pPr>
      <w:r>
        <w:rPr/>
        <w:t>No existe un acercamiento uniforme a la terapia. A nivel mundial, existen múltiples</w:t>
      </w:r>
      <w:r>
        <w:rPr>
          <w:spacing w:val="1"/>
        </w:rPr>
        <w:t> </w:t>
      </w:r>
      <w:r>
        <w:rPr/>
        <w:t>esquemas quimioterapéuticos propuestos para el tratamiento de LLA y el regímen escogido</w:t>
      </w:r>
      <w:r>
        <w:rPr>
          <w:spacing w:val="1"/>
        </w:rPr>
        <w:t> </w:t>
      </w:r>
      <w:r>
        <w:rPr/>
        <w:t>dependerá del linaje inmunofenotípico (LLA burkitt like, pro-B o LLA de linaje T), y de los</w:t>
      </w:r>
      <w:r>
        <w:rPr>
          <w:spacing w:val="-58"/>
        </w:rPr>
        <w:t> </w:t>
      </w:r>
      <w:r>
        <w:rPr/>
        <w:t>factores</w:t>
      </w:r>
      <w:r>
        <w:rPr>
          <w:spacing w:val="1"/>
        </w:rPr>
        <w:t> </w:t>
      </w:r>
      <w:r>
        <w:rPr/>
        <w:t>pronósticos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edad,</w:t>
      </w:r>
      <w:r>
        <w:rPr>
          <w:spacing w:val="1"/>
        </w:rPr>
        <w:t> </w:t>
      </w:r>
      <w:r>
        <w:rPr/>
        <w:t>hiperleucocitosis y la presencia de ciertas caracteristicas geneticas. Históricamente, se han</w:t>
      </w:r>
      <w:r>
        <w:rPr>
          <w:spacing w:val="1"/>
        </w:rPr>
        <w:t> </w:t>
      </w:r>
      <w:r>
        <w:rPr/>
        <w:t>dividido a los pacientes con diagnóstico de LLA en dos grupos: de alto riesgo y de riesgo</w:t>
      </w:r>
      <w:r>
        <w:rPr>
          <w:spacing w:val="1"/>
        </w:rPr>
        <w:t> </w:t>
      </w:r>
      <w:r>
        <w:rPr/>
        <w:t>estándar,</w:t>
      </w:r>
      <w:r>
        <w:rPr>
          <w:spacing w:val="21"/>
        </w:rPr>
        <w:t> </w:t>
      </w:r>
      <w:r>
        <w:rPr/>
        <w:t>y</w:t>
      </w:r>
      <w:r>
        <w:rPr>
          <w:spacing w:val="25"/>
        </w:rPr>
        <w:t> </w:t>
      </w:r>
      <w:r>
        <w:rPr/>
        <w:t>los</w:t>
      </w:r>
      <w:r>
        <w:rPr>
          <w:spacing w:val="23"/>
        </w:rPr>
        <w:t> </w:t>
      </w:r>
      <w:r>
        <w:rPr/>
        <w:t>regímenes</w:t>
      </w:r>
      <w:r>
        <w:rPr>
          <w:spacing w:val="24"/>
        </w:rPr>
        <w:t> </w:t>
      </w:r>
      <w:r>
        <w:rPr/>
        <w:t>quimioterapéuticos</w:t>
      </w:r>
      <w:r>
        <w:rPr>
          <w:spacing w:val="23"/>
        </w:rPr>
        <w:t> </w:t>
      </w:r>
      <w:r>
        <w:rPr/>
        <w:t>usados</w:t>
      </w:r>
      <w:r>
        <w:rPr>
          <w:spacing w:val="24"/>
        </w:rPr>
        <w:t> </w:t>
      </w:r>
      <w:r>
        <w:rPr/>
        <w:t>para</w:t>
      </w:r>
      <w:r>
        <w:rPr>
          <w:spacing w:val="21"/>
        </w:rPr>
        <w:t> </w:t>
      </w:r>
      <w:r>
        <w:rPr/>
        <w:t>cada</w:t>
      </w:r>
      <w:r>
        <w:rPr>
          <w:spacing w:val="23"/>
        </w:rPr>
        <w:t> </w:t>
      </w:r>
      <w:r>
        <w:rPr/>
        <w:t>uno</w:t>
      </w:r>
      <w:r>
        <w:rPr>
          <w:spacing w:val="24"/>
        </w:rPr>
        <w:t> </w:t>
      </w:r>
      <w:r>
        <w:rPr/>
        <w:t>de</w:t>
      </w:r>
      <w:r>
        <w:rPr>
          <w:spacing w:val="37"/>
        </w:rPr>
        <w:t> </w:t>
      </w:r>
      <w:r>
        <w:rPr/>
        <w:t>estos</w:t>
      </w:r>
      <w:r>
        <w:rPr>
          <w:spacing w:val="21"/>
        </w:rPr>
        <w:t> </w:t>
      </w:r>
      <w:r>
        <w:rPr/>
        <w:t>modifican</w:t>
      </w:r>
      <w:r>
        <w:rPr>
          <w:spacing w:val="22"/>
        </w:rPr>
        <w:t> </w:t>
      </w:r>
      <w:r>
        <w:rPr/>
        <w:t>la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40"/>
        <w:jc w:val="both"/>
      </w:pPr>
      <w:r>
        <w:rPr>
          <w:spacing w:val="-1"/>
        </w:rPr>
        <w:t>intensidad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acuerdo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esta</w:t>
      </w:r>
      <w:r>
        <w:rPr>
          <w:spacing w:val="-10"/>
        </w:rPr>
        <w:t> </w:t>
      </w:r>
      <w:r>
        <w:rPr>
          <w:spacing w:val="-1"/>
        </w:rPr>
        <w:t>clasificación</w:t>
      </w:r>
      <w:r>
        <w:rPr>
          <w:spacing w:val="-4"/>
        </w:rPr>
        <w:t> </w:t>
      </w:r>
      <w:r>
        <w:rPr>
          <w:spacing w:val="-1"/>
        </w:rPr>
        <w:t>(7).</w:t>
      </w:r>
      <w:r>
        <w:rPr>
          <w:spacing w:val="38"/>
        </w:rPr>
        <w:t> </w:t>
      </w:r>
      <w:r>
        <w:rPr>
          <w:spacing w:val="-1"/>
        </w:rPr>
        <w:t>Esta</w:t>
      </w:r>
      <w:r>
        <w:rPr>
          <w:spacing w:val="-10"/>
        </w:rPr>
        <w:t> </w:t>
      </w:r>
      <w:r>
        <w:rPr>
          <w:spacing w:val="-1"/>
        </w:rPr>
        <w:t>categorización</w:t>
      </w:r>
      <w:r>
        <w:rPr>
          <w:spacing w:val="-16"/>
        </w:rPr>
        <w:t> </w:t>
      </w:r>
      <w:r>
        <w:rPr/>
        <w:t>incluye</w:t>
      </w:r>
      <w:r>
        <w:rPr>
          <w:spacing w:val="-10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presentes</w:t>
      </w:r>
      <w:r>
        <w:rPr>
          <w:spacing w:val="-57"/>
        </w:rPr>
        <w:t> </w:t>
      </w:r>
      <w:r>
        <w:rPr/>
        <w:t>al</w:t>
      </w:r>
      <w:r>
        <w:rPr>
          <w:spacing w:val="-6"/>
        </w:rPr>
        <w:t> </w:t>
      </w:r>
      <w:r>
        <w:rPr/>
        <w:t>diagnóstico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clínicas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paraclínicas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además</w:t>
      </w:r>
      <w:r>
        <w:rPr>
          <w:spacing w:val="-8"/>
        </w:rPr>
        <w:t> </w:t>
      </w:r>
      <w:r>
        <w:rPr/>
        <w:t>brindan</w:t>
      </w:r>
      <w:r>
        <w:rPr>
          <w:spacing w:val="-10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pronóstica.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633"/>
        <w:jc w:val="both"/>
      </w:pPr>
      <w:r>
        <w:rPr/>
        <w:t>En general, existen protocolos quimioterapéuticos inspirados en regímenes pediátricos (Pj,</w:t>
      </w:r>
      <w:r>
        <w:rPr>
          <w:spacing w:val="1"/>
        </w:rPr>
        <w:t> </w:t>
      </w:r>
      <w:r>
        <w:rPr/>
        <w:t>protocolos PETHEMA) y protocolos construidos para adultos (pj. HYPER-CVAD). Los</w:t>
      </w:r>
      <w:r>
        <w:rPr>
          <w:spacing w:val="1"/>
        </w:rPr>
        <w:t> </w:t>
      </w:r>
      <w:r>
        <w:rPr/>
        <w:t>esquemas</w:t>
      </w:r>
      <w:r>
        <w:rPr>
          <w:spacing w:val="1"/>
        </w:rPr>
        <w:t> </w:t>
      </w:r>
      <w:r>
        <w:rPr/>
        <w:t>terapéuticos</w:t>
      </w:r>
      <w:r>
        <w:rPr>
          <w:spacing w:val="1"/>
        </w:rPr>
        <w:t> </w:t>
      </w:r>
      <w:r>
        <w:rPr/>
        <w:t>difieren,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comparten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inducción-remisión seguido por terapia de consolidación y de continuación con el objetivo</w:t>
      </w:r>
      <w:r>
        <w:rPr>
          <w:spacing w:val="1"/>
        </w:rPr>
        <w:t> </w:t>
      </w:r>
      <w:r>
        <w:rPr/>
        <w:t>de eliminar las células residuales leucémicas (1,8). La guia Colombiana recomienda el uso</w:t>
      </w:r>
      <w:r>
        <w:rPr>
          <w:spacing w:val="1"/>
        </w:rPr>
        <w:t> </w:t>
      </w:r>
      <w:r>
        <w:rPr/>
        <w:t>de protocolos de quimioterapia inspirados en la población pediátrica para el tratamiento de</w:t>
      </w:r>
      <w:r>
        <w:rPr>
          <w:spacing w:val="1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jóvenes</w:t>
      </w:r>
      <w:r>
        <w:rPr>
          <w:spacing w:val="-2"/>
        </w:rPr>
        <w:t> </w:t>
      </w:r>
      <w:r>
        <w:rPr/>
        <w:t>(18 a 21 años) con diagnóstico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LLA</w:t>
      </w:r>
      <w:r>
        <w:rPr>
          <w:spacing w:val="7"/>
        </w:rPr>
        <w:t> </w:t>
      </w:r>
      <w:r>
        <w:rPr/>
        <w:t>(9).</w:t>
      </w:r>
    </w:p>
    <w:p>
      <w:pPr>
        <w:pStyle w:val="BodyText"/>
        <w:spacing w:line="480" w:lineRule="auto" w:before="1"/>
        <w:ind w:left="480" w:right="633" w:firstLine="720"/>
        <w:jc w:val="both"/>
      </w:pPr>
      <w:r>
        <w:rPr/>
        <w:t>El Trasplante de progenitores Hematopoyéticos (TPH)</w:t>
      </w:r>
      <w:r>
        <w:rPr>
          <w:spacing w:val="1"/>
        </w:rPr>
        <w:t> </w:t>
      </w:r>
      <w:r>
        <w:rPr/>
        <w:t>puede llegar a ofrecer tasas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supervivencia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30-40%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regímenes</w:t>
      </w:r>
      <w:r>
        <w:rPr>
          <w:spacing w:val="-13"/>
        </w:rPr>
        <w:t> </w:t>
      </w:r>
      <w:r>
        <w:rPr/>
        <w:t>conevncionales</w:t>
      </w:r>
      <w:r>
        <w:rPr>
          <w:spacing w:val="-8"/>
        </w:rPr>
        <w:t> </w:t>
      </w:r>
      <w:r>
        <w:rPr/>
        <w:t>(8).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TPH</w:t>
      </w:r>
      <w:r>
        <w:rPr>
          <w:spacing w:val="-12"/>
        </w:rPr>
        <w:t> </w:t>
      </w:r>
      <w:r>
        <w:rPr/>
        <w:t>debería</w:t>
      </w:r>
      <w:r>
        <w:rPr>
          <w:spacing w:val="-9"/>
        </w:rPr>
        <w:t> </w:t>
      </w:r>
      <w:r>
        <w:rPr/>
        <w:t>hacer</w:t>
      </w:r>
      <w:r>
        <w:rPr>
          <w:spacing w:val="-11"/>
        </w:rPr>
        <w:t> </w:t>
      </w:r>
      <w:r>
        <w:rPr/>
        <w:t>parte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3"/>
        </w:rPr>
        <w:t> </w:t>
      </w:r>
      <w:r>
        <w:rPr/>
        <w:t>regímenes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consolidación</w:t>
      </w:r>
      <w:r>
        <w:rPr>
          <w:spacing w:val="-58"/>
        </w:rPr>
        <w:t> </w:t>
      </w:r>
      <w:r>
        <w:rPr/>
        <w:t>en pacientes con perfiles moleculares no favorables. En los pacientes con riesgo estándar es</w:t>
      </w:r>
      <w:r>
        <w:rPr>
          <w:spacing w:val="-57"/>
        </w:rPr>
        <w:t> </w:t>
      </w:r>
      <w:r>
        <w:rPr/>
        <w:t>discutido,</w:t>
      </w:r>
      <w:r>
        <w:rPr>
          <w:spacing w:val="-1"/>
        </w:rPr>
        <w:t> </w:t>
      </w:r>
      <w:r>
        <w:rPr/>
        <w:t>ya que</w:t>
      </w:r>
      <w:r>
        <w:rPr>
          <w:spacing w:val="1"/>
        </w:rPr>
        <w:t> </w:t>
      </w:r>
      <w:r>
        <w:rPr/>
        <w:t>se deben</w:t>
      </w:r>
      <w:r>
        <w:rPr>
          <w:spacing w:val="-1"/>
        </w:rPr>
        <w:t> </w:t>
      </w:r>
      <w:r>
        <w:rPr/>
        <w:t>evaluar los</w:t>
      </w:r>
      <w:r>
        <w:rPr>
          <w:spacing w:val="-3"/>
        </w:rPr>
        <w:t> </w:t>
      </w:r>
      <w:r>
        <w:rPr/>
        <w:t>riesgos/beneficios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esta terapia.</w:t>
      </w:r>
      <w:r>
        <w:rPr>
          <w:spacing w:val="9"/>
        </w:rPr>
        <w:t> </w:t>
      </w:r>
      <w:r>
        <w:rPr/>
        <w:t>(10).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bookmarkStart w:name="_bookmark5" w:id="10"/>
      <w:bookmarkEnd w:id="10"/>
      <w:r>
        <w:rPr/>
      </w:r>
      <w:bookmarkStart w:name="_bookmark5" w:id="11"/>
      <w:bookmarkEnd w:id="11"/>
      <w:r>
        <w:rPr>
          <w:sz w:val="24"/>
        </w:rPr>
        <w:t>E</w:t>
      </w:r>
      <w:r>
        <w:rPr>
          <w:sz w:val="24"/>
        </w:rPr>
        <w:t>nfermedad</w:t>
      </w:r>
      <w:r>
        <w:rPr>
          <w:spacing w:val="-6"/>
          <w:sz w:val="24"/>
        </w:rPr>
        <w:t> </w:t>
      </w:r>
      <w:r>
        <w:rPr>
          <w:sz w:val="24"/>
        </w:rPr>
        <w:t>mínima</w:t>
      </w:r>
      <w:r>
        <w:rPr>
          <w:spacing w:val="-6"/>
          <w:sz w:val="24"/>
        </w:rPr>
        <w:t> </w:t>
      </w:r>
      <w:r>
        <w:rPr>
          <w:sz w:val="24"/>
        </w:rPr>
        <w:t>residual</w:t>
      </w:r>
    </w:p>
    <w:p>
      <w:pPr>
        <w:pStyle w:val="BodyText"/>
      </w:pPr>
    </w:p>
    <w:p>
      <w:pPr>
        <w:pStyle w:val="BodyText"/>
        <w:spacing w:line="480" w:lineRule="auto"/>
        <w:ind w:left="480" w:right="634" w:firstLine="720"/>
        <w:jc w:val="both"/>
      </w:pPr>
      <w:r>
        <w:rPr/>
        <w:t>El</w:t>
      </w:r>
      <w:r>
        <w:rPr>
          <w:spacing w:val="-6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terapia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inducción</w:t>
      </w:r>
      <w:r>
        <w:rPr>
          <w:spacing w:val="-6"/>
        </w:rPr>
        <w:t> </w:t>
      </w:r>
      <w:r>
        <w:rPr/>
        <w:t>es</w:t>
      </w:r>
      <w:r>
        <w:rPr>
          <w:spacing w:val="-11"/>
        </w:rPr>
        <w:t> </w:t>
      </w:r>
      <w:r>
        <w:rPr/>
        <w:t>erradicar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99%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células</w:t>
      </w:r>
      <w:r>
        <w:rPr>
          <w:spacing w:val="-11"/>
        </w:rPr>
        <w:t> </w:t>
      </w:r>
      <w:r>
        <w:rPr/>
        <w:t>leucémicas</w:t>
      </w:r>
      <w:r>
        <w:rPr>
          <w:spacing w:val="4"/>
        </w:rPr>
        <w:t> </w:t>
      </w:r>
      <w:r>
        <w:rPr/>
        <w:t>y,</w:t>
      </w:r>
      <w:r>
        <w:rPr>
          <w:spacing w:val="-58"/>
        </w:rPr>
        <w:t> </w:t>
      </w:r>
      <w:r>
        <w:rPr/>
        <w:t>por lo tanto, restaurar la hematopoyesis. Se ha encontrado que la presencia de Enfermedad</w:t>
      </w:r>
      <w:r>
        <w:rPr>
          <w:spacing w:val="1"/>
        </w:rPr>
        <w:t> </w:t>
      </w:r>
      <w:r>
        <w:rPr/>
        <w:t>Mínima Residual (EMR) es un fuerte factor pronóstico – incluso mayor que otros factores</w:t>
      </w:r>
      <w:r>
        <w:rPr>
          <w:spacing w:val="1"/>
        </w:rPr>
        <w:t> </w:t>
      </w:r>
      <w:r>
        <w:rPr/>
        <w:t>como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edad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hiperleucocitosis</w:t>
      </w:r>
      <w:r>
        <w:rPr>
          <w:spacing w:val="-11"/>
        </w:rPr>
        <w:t> </w:t>
      </w:r>
      <w:r>
        <w:rPr/>
        <w:t>al</w:t>
      </w:r>
      <w:r>
        <w:rPr>
          <w:spacing w:val="-8"/>
        </w:rPr>
        <w:t> </w:t>
      </w:r>
      <w:r>
        <w:rPr/>
        <w:t>diagnóstico</w:t>
      </w:r>
      <w:r>
        <w:rPr>
          <w:spacing w:val="-2"/>
        </w:rPr>
        <w:t> </w:t>
      </w:r>
      <w:r>
        <w:rPr/>
        <w:t>–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tanto</w:t>
      </w:r>
      <w:r>
        <w:rPr>
          <w:spacing w:val="-9"/>
        </w:rPr>
        <w:t> </w:t>
      </w:r>
      <w:r>
        <w:rPr/>
        <w:t>diferentes</w:t>
      </w:r>
      <w:r>
        <w:rPr>
          <w:spacing w:val="-11"/>
        </w:rPr>
        <w:t> </w:t>
      </w:r>
      <w:r>
        <w:rPr/>
        <w:t>guías</w:t>
      </w:r>
      <w:r>
        <w:rPr>
          <w:spacing w:val="-11"/>
        </w:rPr>
        <w:t> </w:t>
      </w:r>
      <w:r>
        <w:rPr/>
        <w:t>recomiendan</w:t>
      </w:r>
      <w:r>
        <w:rPr>
          <w:spacing w:val="-58"/>
        </w:rPr>
        <w:t> </w:t>
      </w:r>
      <w:r>
        <w:rPr/>
        <w:t>la medición de la EMR al final de la terapia de inducción</w:t>
      </w:r>
      <w:r>
        <w:rPr>
          <w:spacing w:val="1"/>
        </w:rPr>
        <w:t> </w:t>
      </w:r>
      <w:r>
        <w:rPr/>
        <w:t>(5,9). La medición de EMR</w:t>
      </w:r>
      <w:r>
        <w:rPr>
          <w:spacing w:val="1"/>
        </w:rPr>
        <w:t> </w:t>
      </w:r>
      <w:r>
        <w:rPr/>
        <w:t>permite, además, la reclasificación de pacientes que inicialmente habían sido estratificados</w:t>
      </w:r>
      <w:r>
        <w:rPr>
          <w:spacing w:val="1"/>
        </w:rPr>
        <w:t> </w:t>
      </w:r>
      <w:r>
        <w:rPr/>
        <w:t>como</w:t>
      </w:r>
      <w:r>
        <w:rPr>
          <w:spacing w:val="-9"/>
        </w:rPr>
        <w:t> </w:t>
      </w:r>
      <w:r>
        <w:rPr/>
        <w:t>riesgo</w:t>
      </w:r>
      <w:r>
        <w:rPr>
          <w:spacing w:val="-9"/>
        </w:rPr>
        <w:t> </w:t>
      </w:r>
      <w:r>
        <w:rPr/>
        <w:t>estándar</w:t>
      </w:r>
      <w:r>
        <w:rPr>
          <w:spacing w:val="-8"/>
        </w:rPr>
        <w:t> </w:t>
      </w:r>
      <w:r>
        <w:rPr/>
        <w:t>pero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final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inducción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alcanzaron</w:t>
      </w:r>
      <w:r>
        <w:rPr>
          <w:spacing w:val="-9"/>
        </w:rPr>
        <w:t> </w:t>
      </w:r>
      <w:r>
        <w:rPr/>
        <w:t>&lt;0,01%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linfoblastos,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/>
      </w:pPr>
      <w:r>
        <w:rPr/>
        <w:t>y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30"/>
        </w:rPr>
        <w:t> </w:t>
      </w:r>
      <w:r>
        <w:rPr/>
        <w:t>tanto</w:t>
      </w:r>
      <w:r>
        <w:rPr>
          <w:spacing w:val="30"/>
        </w:rPr>
        <w:t> </w:t>
      </w:r>
      <w:r>
        <w:rPr/>
        <w:t>permite</w:t>
      </w:r>
      <w:r>
        <w:rPr>
          <w:spacing w:val="32"/>
        </w:rPr>
        <w:t> </w:t>
      </w:r>
      <w:r>
        <w:rPr/>
        <w:t>reorientar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esquemas</w:t>
      </w:r>
      <w:r>
        <w:rPr>
          <w:spacing w:val="29"/>
        </w:rPr>
        <w:t> </w:t>
      </w:r>
      <w:r>
        <w:rPr/>
        <w:t>de</w:t>
      </w:r>
      <w:r>
        <w:rPr>
          <w:spacing w:val="32"/>
        </w:rPr>
        <w:t> </w:t>
      </w:r>
      <w:r>
        <w:rPr/>
        <w:t>quimioterapia</w:t>
      </w:r>
      <w:r>
        <w:rPr>
          <w:spacing w:val="45"/>
        </w:rPr>
        <w:t> </w:t>
      </w:r>
      <w:r>
        <w:rPr/>
        <w:t>y</w:t>
      </w:r>
      <w:r>
        <w:rPr>
          <w:spacing w:val="30"/>
        </w:rPr>
        <w:t> </w:t>
      </w:r>
      <w:r>
        <w:rPr/>
        <w:t>ofrecer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forma</w:t>
      </w:r>
      <w:r>
        <w:rPr>
          <w:spacing w:val="32"/>
        </w:rPr>
        <w:t> </w:t>
      </w:r>
      <w:r>
        <w:rPr/>
        <w:t>más</w:t>
      </w:r>
      <w:r>
        <w:rPr>
          <w:spacing w:val="-57"/>
        </w:rPr>
        <w:t> </w:t>
      </w:r>
      <w:r>
        <w:rPr/>
        <w:t>temprana tratamientos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rescate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TPH.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bookmarkStart w:name="_bookmark6" w:id="12"/>
      <w:bookmarkEnd w:id="12"/>
      <w:r>
        <w:rPr/>
      </w:r>
      <w:bookmarkStart w:name="_bookmark6" w:id="13"/>
      <w:bookmarkEnd w:id="13"/>
      <w:r>
        <w:rPr>
          <w:sz w:val="24"/>
        </w:rPr>
        <w:t>R</w:t>
      </w:r>
      <w:r>
        <w:rPr>
          <w:sz w:val="24"/>
        </w:rPr>
        <w:t>ecaída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enfermedad</w:t>
      </w:r>
    </w:p>
    <w:p>
      <w:pPr>
        <w:pStyle w:val="BodyText"/>
      </w:pPr>
    </w:p>
    <w:p>
      <w:pPr>
        <w:pStyle w:val="BodyText"/>
        <w:spacing w:line="480" w:lineRule="auto"/>
        <w:ind w:left="480" w:right="636" w:firstLine="720"/>
        <w:jc w:val="both"/>
      </w:pPr>
      <w:r>
        <w:rPr/>
        <w:t>Se define como recaída de enfermedad a la reaparición de linfoblastos en cualquier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cuerpo.</w:t>
      </w:r>
      <w:r>
        <w:rPr>
          <w:spacing w:val="1"/>
        </w:rPr>
        <w:t> </w:t>
      </w:r>
      <w:r>
        <w:rPr/>
        <w:t>Usualmente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recaídas</w:t>
      </w:r>
      <w:r>
        <w:rPr>
          <w:spacing w:val="1"/>
        </w:rPr>
        <w:t> </w:t>
      </w:r>
      <w:r>
        <w:rPr/>
        <w:t>compromenten</w:t>
      </w:r>
      <w:r>
        <w:rPr>
          <w:spacing w:val="1"/>
        </w:rPr>
        <w:t> </w:t>
      </w:r>
      <w:r>
        <w:rPr/>
        <w:t>médula</w:t>
      </w:r>
      <w:r>
        <w:rPr>
          <w:spacing w:val="1"/>
        </w:rPr>
        <w:t> </w:t>
      </w:r>
      <w:r>
        <w:rPr/>
        <w:t>ósea,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observarse células tumorales en otros tejidos como ojos, ovarios, útero, sistema nervioso</w:t>
      </w:r>
      <w:r>
        <w:rPr>
          <w:spacing w:val="1"/>
        </w:rPr>
        <w:t> </w:t>
      </w:r>
      <w:r>
        <w:rPr/>
        <w:t>central, entre otros. La mayoría de las recaídas ocurren en los primeros dos años posterior al</w:t>
      </w:r>
      <w:r>
        <w:rPr>
          <w:spacing w:val="-58"/>
        </w:rPr>
        <w:t> </w:t>
      </w:r>
      <w:r>
        <w:rPr/>
        <w:t>tratamiento, aunque pueden aparecer hasta 10 años posterior al diagnóstico. Se define como</w:t>
      </w:r>
      <w:r>
        <w:rPr>
          <w:spacing w:val="-57"/>
        </w:rPr>
        <w:t> </w:t>
      </w:r>
      <w:r>
        <w:rPr/>
        <w:t>recaída a la aparición de &gt;5% de linfoblastos en médula ósea o el demostrar la de presencia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afección</w:t>
      </w:r>
      <w:r>
        <w:rPr>
          <w:spacing w:val="-6"/>
        </w:rPr>
        <w:t> </w:t>
      </w:r>
      <w:r>
        <w:rPr/>
        <w:t>leucémica</w:t>
      </w:r>
      <w:r>
        <w:rPr>
          <w:spacing w:val="-5"/>
        </w:rPr>
        <w:t> </w:t>
      </w:r>
      <w:r>
        <w:rPr/>
        <w:t>extramedular,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11"/>
        </w:rPr>
        <w:t> </w:t>
      </w:r>
      <w:r>
        <w:rPr/>
        <w:t>paciente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había</w:t>
      </w:r>
      <w:r>
        <w:rPr>
          <w:spacing w:val="-5"/>
        </w:rPr>
        <w:t> </w:t>
      </w:r>
      <w:r>
        <w:rPr/>
        <w:t>alcanzado</w:t>
      </w:r>
      <w:r>
        <w:rPr>
          <w:spacing w:val="-6"/>
        </w:rPr>
        <w:t> </w:t>
      </w:r>
      <w:r>
        <w:rPr/>
        <w:t>respuesta</w:t>
      </w:r>
      <w:r>
        <w:rPr>
          <w:spacing w:val="-4"/>
        </w:rPr>
        <w:t> </w:t>
      </w:r>
      <w:r>
        <w:rPr/>
        <w:t>completa</w:t>
      </w:r>
      <w:r>
        <w:rPr>
          <w:spacing w:val="-58"/>
        </w:rPr>
        <w:t> </w:t>
      </w:r>
      <w:r>
        <w:rPr/>
        <w:t>(1).</w:t>
      </w:r>
    </w:p>
    <w:p>
      <w:pPr>
        <w:pStyle w:val="BodyText"/>
        <w:spacing w:line="480" w:lineRule="auto"/>
        <w:ind w:left="480" w:right="640" w:firstLine="720"/>
        <w:jc w:val="both"/>
      </w:pPr>
      <w:r>
        <w:rPr/>
        <w:t>La supervivencia libre de enfermedad de los adultos con diagnóstico de LLA a 10</w:t>
      </w:r>
      <w:r>
        <w:rPr>
          <w:spacing w:val="1"/>
        </w:rPr>
        <w:t> </w:t>
      </w:r>
      <w:r>
        <w:rPr/>
        <w:t>años está entre el 40-50% (10). La supervivencia de los pacientes con recaída es aún más</w:t>
      </w:r>
      <w:r>
        <w:rPr>
          <w:spacing w:val="1"/>
        </w:rPr>
        <w:t> </w:t>
      </w:r>
      <w:r>
        <w:rPr/>
        <w:t>reducida, algunos autores han descrito mortalidades hasta del 90%, con un 11-23% de</w:t>
      </w:r>
      <w:r>
        <w:rPr>
          <w:spacing w:val="1"/>
        </w:rPr>
        <w:t> </w:t>
      </w:r>
      <w:r>
        <w:rPr/>
        <w:t>mortalidad asociada al tratamiento (11). Existen diversos factores asociados a recaída, pero</w:t>
      </w:r>
      <w:r>
        <w:rPr>
          <w:spacing w:val="1"/>
        </w:rPr>
        <w:t> </w:t>
      </w:r>
      <w:r>
        <w:rPr/>
        <w:t>en los últimos años ha cobrado vital importancia lograr EMR negativa durante o posterior a</w:t>
      </w:r>
      <w:r>
        <w:rPr>
          <w:spacing w:val="-57"/>
        </w:rPr>
        <w:t> </w:t>
      </w:r>
      <w:r>
        <w:rPr/>
        <w:t>los régimenes quimioterapéuticos de inducción, tanto así que la falla al lograr la remisión</w:t>
      </w:r>
      <w:r>
        <w:rPr>
          <w:spacing w:val="1"/>
        </w:rPr>
        <w:t> </w:t>
      </w:r>
      <w:r>
        <w:rPr/>
        <w:t>molecular obliga a estratificar al paciente como de alto riesgo y el paciente debería ser</w:t>
      </w:r>
      <w:r>
        <w:rPr>
          <w:spacing w:val="1"/>
        </w:rPr>
        <w:t> </w:t>
      </w:r>
      <w:r>
        <w:rPr/>
        <w:t>sometido a quimioterapia de rescate seguido de TPH alogénico como terapia de salvamento</w:t>
      </w:r>
      <w:r>
        <w:rPr>
          <w:spacing w:val="-57"/>
        </w:rPr>
        <w:t> </w:t>
      </w:r>
      <w:r>
        <w:rPr/>
        <w:t>(12).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100" w:after="0"/>
        <w:ind w:left="1201" w:right="0" w:hanging="361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E</w:t>
      </w:r>
      <w:r>
        <w:rPr/>
        <w:t>stado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arte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636" w:firstLine="720"/>
        <w:jc w:val="both"/>
      </w:pPr>
      <w:r>
        <w:rPr/>
        <w:t>La quimioterapia óptima con toxicidad mínima es el objetivo ideal a alcanzar en</w:t>
      </w:r>
      <w:r>
        <w:rPr>
          <w:spacing w:val="1"/>
        </w:rPr>
        <w:t> </w:t>
      </w:r>
      <w:r>
        <w:rPr/>
        <w:t>pacientes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diagnóstico</w:t>
      </w:r>
      <w:r>
        <w:rPr>
          <w:spacing w:val="-10"/>
        </w:rPr>
        <w:t> </w:t>
      </w:r>
      <w:r>
        <w:rPr/>
        <w:t>neoplasias</w:t>
      </w:r>
      <w:r>
        <w:rPr>
          <w:spacing w:val="-12"/>
        </w:rPr>
        <w:t> </w:t>
      </w:r>
      <w:r>
        <w:rPr/>
        <w:t>malignas,</w:t>
      </w:r>
      <w:r>
        <w:rPr>
          <w:spacing w:val="-10"/>
        </w:rPr>
        <w:t> </w:t>
      </w:r>
      <w:r>
        <w:rPr/>
        <w:t>incluidas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leucemia</w:t>
      </w:r>
      <w:r>
        <w:rPr>
          <w:spacing w:val="-13"/>
        </w:rPr>
        <w:t> </w:t>
      </w:r>
      <w:r>
        <w:rPr/>
        <w:t>linfoide</w:t>
      </w:r>
      <w:r>
        <w:rPr>
          <w:spacing w:val="-9"/>
        </w:rPr>
        <w:t> </w:t>
      </w:r>
      <w:r>
        <w:rPr/>
        <w:t>aguda (13).</w:t>
      </w:r>
      <w:r>
        <w:rPr>
          <w:spacing w:val="40"/>
        </w:rPr>
        <w:t> </w:t>
      </w:r>
      <w:r>
        <w:rPr/>
        <w:t>La</w:t>
      </w:r>
      <w:r>
        <w:rPr>
          <w:spacing w:val="-58"/>
        </w:rPr>
        <w:t> </w:t>
      </w:r>
      <w:r>
        <w:rPr/>
        <w:t>historia natural de la enfermedad sin duda ha cambiado con las terapias introducidas en los</w:t>
      </w:r>
      <w:r>
        <w:rPr>
          <w:spacing w:val="1"/>
        </w:rPr>
        <w:t> </w:t>
      </w:r>
      <w:r>
        <w:rPr/>
        <w:t>últimos años. Dos terapias que han cambiado drásticamente la sobrevida de la enfermedad</w:t>
      </w:r>
      <w:r>
        <w:rPr>
          <w:spacing w:val="1"/>
        </w:rPr>
        <w:t> </w:t>
      </w:r>
      <w:r>
        <w:rPr/>
        <w:t>han sido el TPH y la introducción los ITK para el tratamiento de LLA BCR/ABL positivo.</w:t>
      </w:r>
      <w:r>
        <w:rPr>
          <w:spacing w:val="1"/>
        </w:rPr>
        <w:t> </w:t>
      </w:r>
      <w:r>
        <w:rPr/>
        <w:t>Antes de la introducción de ITK la sobrevida a largo plazo de los pacientes con LLA con</w:t>
      </w:r>
      <w:r>
        <w:rPr>
          <w:spacing w:val="1"/>
        </w:rPr>
        <w:t> </w:t>
      </w:r>
      <w:r>
        <w:rPr/>
        <w:t>BCR/ABL</w:t>
      </w:r>
      <w:r>
        <w:rPr>
          <w:spacing w:val="1"/>
        </w:rPr>
        <w:t> </w:t>
      </w:r>
      <w:r>
        <w:rPr/>
        <w:t>positivo era</w:t>
      </w:r>
      <w:r>
        <w:rPr>
          <w:spacing w:val="1"/>
        </w:rPr>
        <w:t> </w:t>
      </w:r>
      <w:r>
        <w:rPr/>
        <w:t>&lt;20%</w:t>
      </w:r>
      <w:r>
        <w:rPr>
          <w:spacing w:val="2"/>
        </w:rPr>
        <w:t> </w:t>
      </w:r>
      <w:r>
        <w:rPr/>
        <w:t>(14,15).</w:t>
      </w:r>
    </w:p>
    <w:p>
      <w:pPr>
        <w:pStyle w:val="BodyText"/>
        <w:spacing w:line="480" w:lineRule="auto" w:before="2"/>
        <w:ind w:left="480" w:right="633" w:firstLine="720"/>
        <w:jc w:val="both"/>
      </w:pPr>
      <w:r>
        <w:rPr/>
        <w:t>Una de las maneras de estimar la sobrevida en pacientes con diagnóstico de LLA es</w:t>
      </w:r>
      <w:r>
        <w:rPr>
          <w:spacing w:val="1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identificación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subtipo</w:t>
      </w:r>
      <w:r>
        <w:rPr>
          <w:spacing w:val="-11"/>
        </w:rPr>
        <w:t> </w:t>
      </w:r>
      <w:r>
        <w:rPr/>
        <w:t>clínico-biológico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estratificación</w:t>
      </w:r>
      <w:r>
        <w:rPr>
          <w:spacing w:val="-3"/>
        </w:rPr>
        <w:t> </w:t>
      </w:r>
      <w:r>
        <w:rPr/>
        <w:t>según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grupo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riesgo.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anterior,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conocen</w:t>
      </w:r>
      <w:r>
        <w:rPr>
          <w:spacing w:val="-5"/>
        </w:rPr>
        <w:t> </w:t>
      </w:r>
      <w:r>
        <w:rPr/>
        <w:t>cuatro</w:t>
      </w:r>
      <w:r>
        <w:rPr>
          <w:spacing w:val="-5"/>
        </w:rPr>
        <w:t> </w:t>
      </w:r>
      <w:r>
        <w:rPr/>
        <w:t>grupos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enfermos: riesgo</w:t>
      </w:r>
      <w:r>
        <w:rPr>
          <w:spacing w:val="-5"/>
        </w:rPr>
        <w:t> </w:t>
      </w:r>
      <w:r>
        <w:rPr/>
        <w:t>estándar,</w:t>
      </w:r>
      <w:r>
        <w:rPr>
          <w:spacing w:val="-5"/>
        </w:rPr>
        <w:t> </w:t>
      </w:r>
      <w:r>
        <w:rPr/>
        <w:t>alto</w:t>
      </w:r>
      <w:r>
        <w:rPr>
          <w:spacing w:val="-57"/>
        </w:rPr>
        <w:t> </w:t>
      </w:r>
      <w:r>
        <w:rPr/>
        <w:t>riesgo,</w:t>
      </w:r>
      <w:r>
        <w:rPr>
          <w:spacing w:val="-2"/>
        </w:rPr>
        <w:t> </w:t>
      </w:r>
      <w:r>
        <w:rPr/>
        <w:t>aquellos</w:t>
      </w:r>
      <w:r>
        <w:rPr>
          <w:spacing w:val="-4"/>
        </w:rPr>
        <w:t> </w:t>
      </w:r>
      <w:r>
        <w:rPr/>
        <w:t>afectados</w:t>
      </w:r>
      <w:r>
        <w:rPr>
          <w:spacing w:val="-3"/>
        </w:rPr>
        <w:t> </w:t>
      </w:r>
      <w:r>
        <w:rPr/>
        <w:t>con</w:t>
      </w:r>
      <w:r>
        <w:rPr>
          <w:spacing w:val="-7"/>
        </w:rPr>
        <w:t> </w:t>
      </w:r>
      <w:r>
        <w:rPr/>
        <w:t>LLA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Burkitt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LLA</w:t>
      </w:r>
      <w:r>
        <w:rPr>
          <w:spacing w:val="-8"/>
        </w:rPr>
        <w:t> </w:t>
      </w:r>
      <w:r>
        <w:rPr/>
        <w:t>con</w:t>
      </w:r>
      <w:r>
        <w:rPr>
          <w:spacing w:val="-1"/>
        </w:rPr>
        <w:t> </w:t>
      </w:r>
      <w:r>
        <w:rPr/>
        <w:t>cromosoma</w:t>
      </w:r>
      <w:r>
        <w:rPr>
          <w:spacing w:val="-1"/>
        </w:rPr>
        <w:t> </w:t>
      </w:r>
      <w:r>
        <w:rPr/>
        <w:t>philadelphia</w:t>
      </w:r>
      <w:r>
        <w:rPr>
          <w:spacing w:val="-5"/>
        </w:rPr>
        <w:t> </w:t>
      </w:r>
      <w:r>
        <w:rPr/>
        <w:t>positiva.</w:t>
      </w:r>
      <w:r>
        <w:rPr>
          <w:spacing w:val="-57"/>
        </w:rPr>
        <w:t> </w:t>
      </w:r>
      <w:r>
        <w:rPr/>
        <w:t>Todos estos grupos tienen supervivencias libres de enfermedad diferentes, de 60-70%, 30-</w:t>
      </w:r>
      <w:r>
        <w:rPr>
          <w:spacing w:val="1"/>
        </w:rPr>
        <w:t> </w:t>
      </w:r>
      <w:r>
        <w:rPr/>
        <w:t>40%,</w:t>
      </w:r>
      <w:r>
        <w:rPr>
          <w:spacing w:val="-8"/>
        </w:rPr>
        <w:t> </w:t>
      </w:r>
      <w:r>
        <w:rPr/>
        <w:t>80-90%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70%</w:t>
      </w:r>
      <w:r>
        <w:rPr>
          <w:spacing w:val="-7"/>
        </w:rPr>
        <w:t> </w:t>
      </w:r>
      <w:r>
        <w:rPr/>
        <w:t>respectivamente</w:t>
      </w:r>
      <w:r>
        <w:rPr>
          <w:spacing w:val="-4"/>
        </w:rPr>
        <w:t> </w:t>
      </w:r>
      <w:r>
        <w:rPr/>
        <w:t>(16–19).</w:t>
      </w:r>
      <w:r>
        <w:rPr>
          <w:spacing w:val="-7"/>
        </w:rPr>
        <w:t> </w:t>
      </w:r>
      <w:r>
        <w:rPr/>
        <w:t>Esta</w:t>
      </w:r>
      <w:r>
        <w:rPr>
          <w:spacing w:val="-10"/>
        </w:rPr>
        <w:t> </w:t>
      </w:r>
      <w:r>
        <w:rPr/>
        <w:t>clasificación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ha</w:t>
      </w:r>
      <w:r>
        <w:rPr>
          <w:spacing w:val="-6"/>
        </w:rPr>
        <w:t> </w:t>
      </w:r>
      <w:r>
        <w:rPr/>
        <w:t>permitido</w:t>
      </w:r>
      <w:r>
        <w:rPr>
          <w:spacing w:val="-8"/>
        </w:rPr>
        <w:t> </w:t>
      </w:r>
      <w:r>
        <w:rPr/>
        <w:t>crear</w:t>
      </w:r>
      <w:r>
        <w:rPr>
          <w:spacing w:val="-58"/>
        </w:rPr>
        <w:t> </w:t>
      </w:r>
      <w:r>
        <w:rPr/>
        <w:t>tratamientos quimioterapéuticos que varían en intensidad, que se ajustan a cada grupo de</w:t>
      </w:r>
      <w:r>
        <w:rPr>
          <w:spacing w:val="1"/>
        </w:rPr>
        <w:t> </w:t>
      </w:r>
      <w:r>
        <w:rPr/>
        <w:t>riesgo buscando mayor sobrevida y tiempos libres de enfermedad. Sin embargo, a pesar de</w:t>
      </w:r>
      <w:r>
        <w:rPr>
          <w:spacing w:val="1"/>
        </w:rPr>
        <w:t> </w:t>
      </w:r>
      <w:r>
        <w:rPr/>
        <w:t>los avances en el tratamiento de primera línea el pronóstico sigue siendo sombrío para los</w:t>
      </w:r>
      <w:r>
        <w:rPr>
          <w:spacing w:val="1"/>
        </w:rPr>
        <w:t> </w:t>
      </w:r>
      <w:r>
        <w:rPr/>
        <w:t>pacientes con LLA en recaída o con refractariedad. Las tasas de remisión completa (RC)</w:t>
      </w:r>
      <w:r>
        <w:rPr>
          <w:spacing w:val="1"/>
        </w:rPr>
        <w:t> </w:t>
      </w:r>
      <w:r>
        <w:rPr/>
        <w:t>posterior a quimioterapia de rescate en este grupo de pacientes solo alcanzan el 31-44%, y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llevados</w:t>
      </w:r>
      <w:r>
        <w:rPr>
          <w:spacing w:val="-2"/>
        </w:rPr>
        <w:t> </w:t>
      </w:r>
      <w:r>
        <w:rPr/>
        <w:t>a segundo rescate</w:t>
      </w:r>
      <w:r>
        <w:rPr>
          <w:spacing w:val="1"/>
        </w:rPr>
        <w:t> </w:t>
      </w:r>
      <w:r>
        <w:rPr/>
        <w:t>la tasa</w:t>
      </w:r>
      <w:r>
        <w:rPr>
          <w:spacing w:val="1"/>
        </w:rPr>
        <w:t> </w:t>
      </w:r>
      <w:r>
        <w:rPr/>
        <w:t>de RC es</w:t>
      </w:r>
      <w:r>
        <w:rPr>
          <w:spacing w:val="-2"/>
        </w:rPr>
        <w:t> </w:t>
      </w:r>
      <w:r>
        <w:rPr/>
        <w:t>tan</w:t>
      </w:r>
      <w:r>
        <w:rPr>
          <w:spacing w:val="-1"/>
        </w:rPr>
        <w:t> </w:t>
      </w:r>
      <w:r>
        <w:rPr/>
        <w:t>solo del</w:t>
      </w:r>
      <w:r>
        <w:rPr>
          <w:spacing w:val="-1"/>
        </w:rPr>
        <w:t> </w:t>
      </w:r>
      <w:r>
        <w:rPr/>
        <w:t>18% (20).</w:t>
      </w:r>
    </w:p>
    <w:p>
      <w:pPr>
        <w:pStyle w:val="BodyText"/>
        <w:spacing w:line="480" w:lineRule="auto" w:before="2"/>
        <w:ind w:left="480" w:right="641" w:firstLine="720"/>
        <w:jc w:val="both"/>
      </w:pPr>
      <w:r>
        <w:rPr/>
        <w:t>Conociendo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desafío,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surgido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terapéuticas para este grupo de pacientes, terapias entre las que cabe mencionar el uso</w:t>
      </w:r>
      <w:r>
        <w:rPr>
          <w:spacing w:val="1"/>
        </w:rPr>
        <w:t> </w:t>
      </w:r>
      <w:r>
        <w:rPr/>
        <w:t>anticuerpos</w:t>
      </w:r>
      <w:r>
        <w:rPr>
          <w:spacing w:val="1"/>
        </w:rPr>
        <w:t> </w:t>
      </w:r>
      <w:r>
        <w:rPr/>
        <w:t>monoclonales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blinatumumab,</w:t>
      </w:r>
      <w:r>
        <w:rPr>
          <w:spacing w:val="1"/>
        </w:rPr>
        <w:t> </w:t>
      </w:r>
      <w:r>
        <w:rPr/>
        <w:t>anticuerpo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liga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linfocitos</w:t>
      </w:r>
      <w:r>
        <w:rPr>
          <w:spacing w:val="-8"/>
        </w:rPr>
        <w:t> </w:t>
      </w:r>
      <w:r>
        <w:rPr/>
        <w:t>CD3</w:t>
      </w:r>
      <w:r>
        <w:rPr>
          <w:spacing w:val="-6"/>
        </w:rPr>
        <w:t> </w:t>
      </w:r>
      <w:r>
        <w:rPr/>
        <w:t>con</w:t>
      </w:r>
      <w:r>
        <w:rPr>
          <w:spacing w:val="-3"/>
        </w:rPr>
        <w:t> </w:t>
      </w:r>
      <w:r>
        <w:rPr/>
        <w:t>células</w:t>
      </w:r>
      <w:r>
        <w:rPr>
          <w:spacing w:val="-7"/>
        </w:rPr>
        <w:t> </w:t>
      </w:r>
      <w:r>
        <w:rPr/>
        <w:t>blásticas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positividad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CD19,</w:t>
      </w:r>
      <w:r>
        <w:rPr>
          <w:spacing w:val="-7"/>
        </w:rPr>
        <w:t> </w:t>
      </w:r>
      <w:r>
        <w:rPr/>
        <w:t>facilitando</w:t>
      </w:r>
      <w:r>
        <w:rPr>
          <w:spacing w:val="-9"/>
        </w:rPr>
        <w:t> </w:t>
      </w:r>
      <w:r>
        <w:rPr/>
        <w:t>así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6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40"/>
        <w:jc w:val="both"/>
      </w:pPr>
      <w:r>
        <w:rPr/>
        <w:t>eliminación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células</w:t>
      </w:r>
      <w:r>
        <w:rPr>
          <w:spacing w:val="-7"/>
        </w:rPr>
        <w:t> </w:t>
      </w:r>
      <w:r>
        <w:rPr/>
        <w:t>tumorales.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medicamento</w:t>
      </w:r>
      <w:r>
        <w:rPr>
          <w:spacing w:val="-6"/>
        </w:rPr>
        <w:t> </w:t>
      </w:r>
      <w:r>
        <w:rPr/>
        <w:t>ha</w:t>
      </w:r>
      <w:r>
        <w:rPr>
          <w:spacing w:val="-4"/>
        </w:rPr>
        <w:t> </w:t>
      </w:r>
      <w:r>
        <w:rPr/>
        <w:t>demostrado</w:t>
      </w:r>
      <w:r>
        <w:rPr>
          <w:spacing w:val="-6"/>
        </w:rPr>
        <w:t> </w:t>
      </w:r>
      <w:r>
        <w:rPr/>
        <w:t>beneficio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aumento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supervivencia</w:t>
      </w:r>
      <w:r>
        <w:rPr>
          <w:spacing w:val="-8"/>
        </w:rPr>
        <w:t> </w:t>
      </w:r>
      <w:r>
        <w:rPr/>
        <w:t>libre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enfermedad y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tasas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remisión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estos</w:t>
      </w:r>
      <w:r>
        <w:rPr>
          <w:spacing w:val="-7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(3).</w:t>
      </w:r>
      <w:r>
        <w:rPr>
          <w:spacing w:val="-5"/>
        </w:rPr>
        <w:t> </w:t>
      </w:r>
      <w:r>
        <w:rPr>
          <w:color w:val="171717"/>
        </w:rPr>
        <w:t>El</w:t>
      </w:r>
      <w:r>
        <w:rPr>
          <w:color w:val="171717"/>
          <w:spacing w:val="-8"/>
        </w:rPr>
        <w:t> </w:t>
      </w:r>
      <w:r>
        <w:rPr>
          <w:color w:val="171717"/>
        </w:rPr>
        <w:t>uso</w:t>
      </w:r>
      <w:r>
        <w:rPr>
          <w:color w:val="171717"/>
          <w:spacing w:val="-6"/>
        </w:rPr>
        <w:t> </w:t>
      </w:r>
      <w:r>
        <w:rPr>
          <w:color w:val="171717"/>
        </w:rPr>
        <w:t>de</w:t>
      </w:r>
      <w:r>
        <w:rPr>
          <w:color w:val="171717"/>
          <w:spacing w:val="-58"/>
        </w:rPr>
        <w:t> </w:t>
      </w:r>
      <w:r>
        <w:rPr>
          <w:color w:val="171717"/>
        </w:rPr>
        <w:t>otros anticuerpos monoclonales como Inotuzumab ozogamicin (un anticuerpo anti CD22)</w:t>
      </w:r>
      <w:r>
        <w:rPr>
          <w:color w:val="171717"/>
          <w:spacing w:val="1"/>
        </w:rPr>
        <w:t> </w:t>
      </w:r>
      <w:r>
        <w:rPr>
          <w:color w:val="171717"/>
        </w:rPr>
        <w:t>también promete resultados para el tratamiento de LLA en recaída. Otros medicamentos de</w:t>
      </w:r>
      <w:r>
        <w:rPr>
          <w:color w:val="171717"/>
          <w:spacing w:val="1"/>
        </w:rPr>
        <w:t> </w:t>
      </w:r>
      <w:r>
        <w:rPr>
          <w:color w:val="171717"/>
        </w:rPr>
        <w:t>este mismo grupo como ofatumumab, obinutuzumab, epratuzumab, denintuzumab, entre</w:t>
      </w:r>
      <w:r>
        <w:rPr>
          <w:color w:val="171717"/>
          <w:spacing w:val="1"/>
        </w:rPr>
        <w:t> </w:t>
      </w:r>
      <w:r>
        <w:rPr>
          <w:color w:val="171717"/>
        </w:rPr>
        <w:t>otros</w:t>
      </w:r>
      <w:r>
        <w:rPr>
          <w:color w:val="171717"/>
          <w:spacing w:val="-3"/>
        </w:rPr>
        <w:t> </w:t>
      </w:r>
      <w:r>
        <w:rPr>
          <w:color w:val="171717"/>
        </w:rPr>
        <w:t>están siendo investigados.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80" w:right="635" w:firstLine="720"/>
        <w:jc w:val="both"/>
      </w:pPr>
      <w:r>
        <w:rPr>
          <w:color w:val="171717"/>
        </w:rPr>
        <w:t>Con la incorporación de nuevos medicamentos a la práctica clínica, la mejoría de</w:t>
      </w:r>
      <w:r>
        <w:rPr>
          <w:color w:val="171717"/>
          <w:spacing w:val="1"/>
        </w:rPr>
        <w:t> </w:t>
      </w:r>
      <w:r>
        <w:rPr>
          <w:color w:val="171717"/>
        </w:rPr>
        <w:t>tecnologías diagnósticas y terapéuticas, el mejor acceso a atención médica y la creación de</w:t>
      </w:r>
      <w:r>
        <w:rPr>
          <w:color w:val="171717"/>
          <w:spacing w:val="1"/>
        </w:rPr>
        <w:t> </w:t>
      </w:r>
      <w:r>
        <w:rPr>
          <w:color w:val="171717"/>
        </w:rPr>
        <w:t>un</w:t>
      </w:r>
      <w:r>
        <w:rPr>
          <w:color w:val="171717"/>
          <w:spacing w:val="1"/>
        </w:rPr>
        <w:t> </w:t>
      </w:r>
      <w:r>
        <w:rPr>
          <w:color w:val="171717"/>
        </w:rPr>
        <w:t>cultura</w:t>
      </w:r>
      <w:r>
        <w:rPr>
          <w:color w:val="171717"/>
          <w:spacing w:val="1"/>
        </w:rPr>
        <w:t> </w:t>
      </w:r>
      <w:r>
        <w:rPr>
          <w:color w:val="171717"/>
        </w:rPr>
        <w:t>del</w:t>
      </w:r>
      <w:r>
        <w:rPr>
          <w:color w:val="171717"/>
          <w:spacing w:val="1"/>
        </w:rPr>
        <w:t> </w:t>
      </w:r>
      <w:r>
        <w:rPr>
          <w:color w:val="171717"/>
        </w:rPr>
        <w:t>cuidado</w:t>
      </w:r>
      <w:r>
        <w:rPr>
          <w:color w:val="171717"/>
          <w:spacing w:val="1"/>
        </w:rPr>
        <w:t> </w:t>
      </w:r>
      <w:r>
        <w:rPr>
          <w:color w:val="171717"/>
        </w:rPr>
        <w:t>de</w:t>
      </w:r>
      <w:r>
        <w:rPr>
          <w:color w:val="171717"/>
          <w:spacing w:val="1"/>
        </w:rPr>
        <w:t> </w:t>
      </w:r>
      <w:r>
        <w:rPr>
          <w:color w:val="171717"/>
        </w:rPr>
        <w:t>cáncer,</w:t>
      </w:r>
      <w:r>
        <w:rPr>
          <w:color w:val="171717"/>
          <w:spacing w:val="1"/>
        </w:rPr>
        <w:t> </w:t>
      </w:r>
      <w:r>
        <w:rPr>
          <w:color w:val="171717"/>
        </w:rPr>
        <w:t>se</w:t>
      </w:r>
      <w:r>
        <w:rPr>
          <w:color w:val="171717"/>
          <w:spacing w:val="1"/>
        </w:rPr>
        <w:t> </w:t>
      </w:r>
      <w:r>
        <w:rPr>
          <w:color w:val="171717"/>
        </w:rPr>
        <w:t>han</w:t>
      </w:r>
      <w:r>
        <w:rPr>
          <w:color w:val="171717"/>
          <w:spacing w:val="1"/>
        </w:rPr>
        <w:t> </w:t>
      </w:r>
      <w:r>
        <w:rPr>
          <w:color w:val="171717"/>
        </w:rPr>
        <w:t>observado</w:t>
      </w:r>
      <w:r>
        <w:rPr>
          <w:color w:val="171717"/>
          <w:spacing w:val="1"/>
        </w:rPr>
        <w:t> </w:t>
      </w:r>
      <w:r>
        <w:rPr>
          <w:color w:val="171717"/>
        </w:rPr>
        <w:t>mejoras</w:t>
      </w:r>
      <w:r>
        <w:rPr>
          <w:color w:val="171717"/>
          <w:spacing w:val="1"/>
        </w:rPr>
        <w:t> </w:t>
      </w:r>
      <w:r>
        <w:rPr>
          <w:color w:val="171717"/>
        </w:rPr>
        <w:t>en</w:t>
      </w:r>
      <w:r>
        <w:rPr>
          <w:color w:val="171717"/>
          <w:spacing w:val="1"/>
        </w:rPr>
        <w:t> </w:t>
      </w:r>
      <w:r>
        <w:rPr>
          <w:color w:val="171717"/>
        </w:rPr>
        <w:t>la</w:t>
      </w:r>
      <w:r>
        <w:rPr>
          <w:color w:val="171717"/>
          <w:spacing w:val="1"/>
        </w:rPr>
        <w:t> </w:t>
      </w:r>
      <w:r>
        <w:rPr>
          <w:color w:val="171717"/>
        </w:rPr>
        <w:t>supervivencia.</w:t>
      </w:r>
      <w:r>
        <w:rPr>
          <w:color w:val="171717"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Colombia, según los datos de la cuenta de alto costo del año 2018, la LLA tiene una</w:t>
      </w:r>
      <w:r>
        <w:rPr>
          <w:spacing w:val="1"/>
        </w:rPr>
        <w:t> </w:t>
      </w:r>
      <w:r>
        <w:rPr/>
        <w:t>prevalencia de 3,3 casos por cada 100.000 habitantes, ocupa el vigésimo segundo puesto de</w:t>
      </w:r>
      <w:r>
        <w:rPr>
          <w:spacing w:val="1"/>
        </w:rPr>
        <w:t> </w:t>
      </w:r>
      <w:r>
        <w:rPr/>
        <w:t>todos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cánceres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país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segundo</w:t>
      </w:r>
      <w:r>
        <w:rPr>
          <w:spacing w:val="-8"/>
        </w:rPr>
        <w:t> </w:t>
      </w:r>
      <w:r>
        <w:rPr/>
        <w:t>lugar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neoplasia</w:t>
      </w:r>
      <w:r>
        <w:rPr>
          <w:spacing w:val="-7"/>
        </w:rPr>
        <w:t> </w:t>
      </w:r>
      <w:r>
        <w:rPr/>
        <w:t>hematolinfoide.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mortalidad</w:t>
      </w:r>
      <w:r>
        <w:rPr>
          <w:spacing w:val="-58"/>
        </w:rPr>
        <w:t> </w:t>
      </w:r>
      <w:r>
        <w:rPr/>
        <w:t>reportada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0,43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100.000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(21).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internacionales, en Colombia las cifras son mucho más escasas y desalentadoras; se han</w:t>
      </w:r>
      <w:r>
        <w:rPr>
          <w:spacing w:val="1"/>
        </w:rPr>
        <w:t> </w:t>
      </w:r>
      <w:r>
        <w:rPr/>
        <w:t>reportado</w:t>
      </w:r>
      <w:r>
        <w:rPr>
          <w:spacing w:val="-1"/>
        </w:rPr>
        <w:t> </w:t>
      </w:r>
      <w:r>
        <w:rPr/>
        <w:t>medianas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sobrevida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11,3 meses</w:t>
      </w:r>
      <w:r>
        <w:rPr>
          <w:spacing w:val="2"/>
        </w:rPr>
        <w:t> </w:t>
      </w:r>
      <w:r>
        <w:rPr/>
        <w:t>(7).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636" w:firstLine="720"/>
        <w:jc w:val="both"/>
      </w:pP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FOSCAL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cuenta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datos</w:t>
      </w:r>
      <w:r>
        <w:rPr>
          <w:spacing w:val="-8"/>
        </w:rPr>
        <w:t> </w:t>
      </w:r>
      <w:r>
        <w:rPr/>
        <w:t>epidemiológicos</w:t>
      </w:r>
      <w:r>
        <w:rPr>
          <w:spacing w:val="-8"/>
        </w:rPr>
        <w:t> </w:t>
      </w:r>
      <w:r>
        <w:rPr/>
        <w:t>locales,</w:t>
      </w:r>
      <w:r>
        <w:rPr>
          <w:spacing w:val="-7"/>
        </w:rPr>
        <w:t> </w:t>
      </w:r>
      <w:r>
        <w:rPr/>
        <w:t>registro</w:t>
      </w:r>
      <w:r>
        <w:rPr>
          <w:spacing w:val="-7"/>
        </w:rPr>
        <w:t> </w:t>
      </w:r>
      <w:r>
        <w:rPr/>
        <w:t>realizado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58"/>
        </w:rPr>
        <w:t> </w:t>
      </w:r>
      <w:r>
        <w:rPr/>
        <w:t>equipo de trabajo de hematología. En el periodo de tiempo comprendido entre julio de 2013</w:t>
      </w:r>
      <w:r>
        <w:rPr>
          <w:spacing w:val="-57"/>
        </w:rPr>
        <w:t> </w:t>
      </w:r>
      <w:r>
        <w:rPr/>
        <w:t>y noviembre de 2017, se registraron 73 pacientes con diagnóstico de LLA atendidos (Figura</w:t>
      </w:r>
      <w:r>
        <w:rPr>
          <w:spacing w:val="-57"/>
        </w:rPr>
        <w:t> </w:t>
      </w:r>
      <w:r>
        <w:rPr/>
        <w:t>1). De estos el 80,2% de los pacientes fueron clasificados de alto riesgo, a 5 pacientes se les</w:t>
      </w:r>
      <w:r>
        <w:rPr>
          <w:spacing w:val="-57"/>
        </w:rPr>
        <w:t> </w:t>
      </w:r>
      <w:r>
        <w:rPr/>
        <w:t>detectó</w:t>
      </w:r>
      <w:r>
        <w:rPr>
          <w:spacing w:val="-9"/>
        </w:rPr>
        <w:t> </w:t>
      </w:r>
      <w:r>
        <w:rPr/>
        <w:t>positividad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BCR/ABL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31%</w:t>
      </w:r>
      <w:r>
        <w:rPr>
          <w:spacing w:val="-8"/>
        </w:rPr>
        <w:t> </w:t>
      </w:r>
      <w:r>
        <w:rPr/>
        <w:t>fue</w:t>
      </w:r>
      <w:r>
        <w:rPr>
          <w:spacing w:val="-8"/>
        </w:rPr>
        <w:t> </w:t>
      </w:r>
      <w:r>
        <w:rPr/>
        <w:t>llevado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TPH. Los</w:t>
      </w:r>
      <w:r>
        <w:rPr>
          <w:spacing w:val="-10"/>
        </w:rPr>
        <w:t> </w:t>
      </w:r>
      <w:r>
        <w:rPr/>
        <w:t>datos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sobrevida</w:t>
      </w:r>
      <w:r>
        <w:rPr>
          <w:spacing w:val="-8"/>
        </w:rPr>
        <w:t> </w:t>
      </w:r>
      <w:r>
        <w:rPr/>
        <w:t>libre</w:t>
      </w:r>
      <w:r>
        <w:rPr>
          <w:spacing w:val="-57"/>
        </w:rPr>
        <w:t> </w:t>
      </w:r>
      <w:r>
        <w:rPr/>
        <w:t>de enfermedad y mortalidad relacionada al tratamiento fueron de 22,9% a los tres años y</w:t>
      </w:r>
      <w:r>
        <w:rPr>
          <w:spacing w:val="1"/>
        </w:rPr>
        <w:t> </w:t>
      </w:r>
      <w:r>
        <w:rPr/>
        <w:t>12,32%</w:t>
      </w:r>
      <w:r>
        <w:rPr>
          <w:spacing w:val="-1"/>
        </w:rPr>
        <w:t> </w:t>
      </w:r>
      <w:r>
        <w:rPr/>
        <w:t>respectivamente.</w:t>
      </w:r>
      <w:r>
        <w:rPr>
          <w:spacing w:val="-6"/>
        </w:rPr>
        <w:t> </w:t>
      </w:r>
      <w:r>
        <w:rPr/>
        <w:t>Estos</w:t>
      </w:r>
      <w:r>
        <w:rPr>
          <w:spacing w:val="-3"/>
        </w:rPr>
        <w:t> </w:t>
      </w:r>
      <w:r>
        <w:rPr/>
        <w:t>datos</w:t>
      </w:r>
      <w:r>
        <w:rPr>
          <w:spacing w:val="-3"/>
        </w:rPr>
        <w:t> </w:t>
      </w:r>
      <w:r>
        <w:rPr/>
        <w:t>son</w:t>
      </w:r>
      <w:r>
        <w:rPr>
          <w:spacing w:val="-1"/>
        </w:rPr>
        <w:t> </w:t>
      </w:r>
      <w:r>
        <w:rPr/>
        <w:t>similares</w:t>
      </w:r>
      <w:r>
        <w:rPr>
          <w:spacing w:val="-2"/>
        </w:rPr>
        <w:t> </w:t>
      </w:r>
      <w:r>
        <w:rPr/>
        <w:t>a los</w:t>
      </w:r>
      <w:r>
        <w:rPr>
          <w:spacing w:val="-3"/>
        </w:rPr>
        <w:t> </w:t>
      </w:r>
      <w:r>
        <w:rPr/>
        <w:t>encontrados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la literatura</w:t>
      </w:r>
      <w:r>
        <w:rPr>
          <w:spacing w:val="6"/>
        </w:rPr>
        <w:t> </w:t>
      </w:r>
      <w:r>
        <w:rPr/>
        <w:t>(22).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8" w:id="16"/>
      <w:bookmarkEnd w:id="16"/>
      <w:r>
        <w:rPr/>
      </w:r>
      <w:r>
        <w:rPr>
          <w:i/>
          <w:color w:val="44536A"/>
          <w:sz w:val="24"/>
        </w:rPr>
        <w:t>Figura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1.</w:t>
      </w:r>
    </w:p>
    <w:p>
      <w:pPr>
        <w:spacing w:before="200"/>
        <w:ind w:left="480" w:right="808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Acumulado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casos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Leucemia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Linfoblástica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Aguda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atendidos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la</w:t>
      </w:r>
      <w:r>
        <w:rPr>
          <w:i/>
          <w:color w:val="44536A"/>
          <w:spacing w:val="-7"/>
          <w:sz w:val="24"/>
        </w:rPr>
        <w:t> </w:t>
      </w:r>
      <w:r>
        <w:rPr>
          <w:i/>
          <w:color w:val="44536A"/>
          <w:sz w:val="24"/>
        </w:rPr>
        <w:t>FOSCAL,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entre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2013 y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2017.</w:t>
      </w:r>
    </w:p>
    <w:p>
      <w:pPr>
        <w:pStyle w:val="BodyText"/>
        <w:spacing w:before="5"/>
        <w:rPr>
          <w:i/>
          <w:sz w:val="13"/>
        </w:rPr>
      </w:pPr>
      <w:r>
        <w:rPr/>
        <w:pict>
          <v:group style="position:absolute;margin-left:157.875pt;margin-top:9.737422pt;width:295.25pt;height:113.85pt;mso-position-horizontal-relative:page;mso-position-vertical-relative:paragraph;z-index:-15728128;mso-wrap-distance-left:0;mso-wrap-distance-right:0" coordorigin="3158,195" coordsize="5905,2277">
            <v:shape style="position:absolute;left:3644;top:422;width:5191;height:1182" coordorigin="3644,422" coordsize="5191,1182" path="m3644,1604l8835,1604m3644,1212l8835,1212m3644,816l8835,816m3644,422l8835,422e" filled="false" stroked="true" strokeweight=".75pt" strokecolor="#d9d9d9">
              <v:path arrowok="t"/>
              <v:stroke dashstyle="solid"/>
            </v:shape>
            <v:rect style="position:absolute;left:3644;top:422;width:5191;height:1579" filled="false" stroked="true" strokeweight="1.0pt" strokecolor="#f1f1f1">
              <v:stroke dashstyle="solid"/>
            </v:rect>
            <v:line style="position:absolute" from="3644,2000" to="8835,2000" stroked="true" strokeweight=".75pt" strokecolor="#d9d9d9">
              <v:stroke dashstyle="solid"/>
            </v:line>
            <v:shape style="position:absolute;left:4163;top:560;width:4153;height:1381" coordorigin="4163,560" coordsize="4153,1381" path="m4163,1941l5200,1624,6240,1288,7276,796,8316,560e" filled="false" stroked="true" strokeweight="1.75pt" strokecolor="#aeabab">
              <v:path arrowok="t"/>
              <v:stroke dashstyle="solid"/>
            </v:shape>
            <v:rect style="position:absolute;left:3165;top:202;width:5890;height:2262" filled="false" stroked="true" strokeweight=".75pt" strokecolor="#d9d9d9">
              <v:stroke dashstyle="solid"/>
            </v:rect>
            <v:shape style="position:absolute;left:3296;top:340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187;top:475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</w:t>
                    </w:r>
                  </w:p>
                </w:txbxContent>
              </v:textbox>
              <w10:wrap type="none"/>
            </v:shape>
            <v:shape style="position:absolute;left:8465;top:418;width:2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3296;top:734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148;top:968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3296;top:1129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110;top:1303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3296;top:1523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119;top:16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387;top:19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82;top:2152;width:3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5021;top:2152;width:3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6059;top:2152;width:3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097;top:2152;width:3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8136;top:2152;width:3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34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O</w:t>
      </w:r>
      <w:r>
        <w:rPr/>
        <w:t>bjetivos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ListParagraph"/>
        <w:numPr>
          <w:ilvl w:val="1"/>
          <w:numId w:val="5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bookmarkStart w:name="_bookmark10" w:id="19"/>
      <w:bookmarkEnd w:id="19"/>
      <w:r>
        <w:rPr/>
      </w:r>
      <w:bookmarkStart w:name="_bookmark10" w:id="20"/>
      <w:bookmarkEnd w:id="20"/>
      <w:r>
        <w:rPr>
          <w:sz w:val="24"/>
        </w:rPr>
        <w:t>O</w:t>
      </w:r>
      <w:r>
        <w:rPr>
          <w:sz w:val="24"/>
        </w:rPr>
        <w:t>bjetivo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480" w:right="414" w:firstLine="720"/>
      </w:pPr>
      <w:r>
        <w:rPr/>
        <w:t>Comparar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mortalidad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sobrevida</w:t>
      </w:r>
      <w:r>
        <w:rPr>
          <w:spacing w:val="4"/>
        </w:rPr>
        <w:t> </w:t>
      </w:r>
      <w:r>
        <w:rPr/>
        <w:t>libre de</w:t>
      </w:r>
      <w:r>
        <w:rPr>
          <w:spacing w:val="4"/>
        </w:rPr>
        <w:t> </w:t>
      </w:r>
      <w:r>
        <w:rPr/>
        <w:t>enfermedad</w:t>
      </w:r>
      <w:r>
        <w:rPr>
          <w:spacing w:val="6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con</w:t>
      </w:r>
      <w:r>
        <w:rPr>
          <w:spacing w:val="-57"/>
        </w:rPr>
        <w:t> </w:t>
      </w:r>
      <w:r>
        <w:rPr/>
        <w:t>LLA</w:t>
      </w:r>
      <w:r>
        <w:rPr>
          <w:spacing w:val="-3"/>
        </w:rPr>
        <w:t> </w:t>
      </w:r>
      <w:r>
        <w:rPr/>
        <w:t>atendidos</w:t>
      </w:r>
      <w:r>
        <w:rPr>
          <w:spacing w:val="-2"/>
        </w:rPr>
        <w:t> </w:t>
      </w:r>
      <w:r>
        <w:rPr/>
        <w:t>en la</w:t>
      </w:r>
      <w:r>
        <w:rPr>
          <w:spacing w:val="1"/>
        </w:rPr>
        <w:t> </w:t>
      </w:r>
      <w:r>
        <w:rPr/>
        <w:t>FOSCAL, entre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periodos</w:t>
      </w:r>
      <w:r>
        <w:rPr>
          <w:spacing w:val="-2"/>
        </w:rPr>
        <w:t> </w:t>
      </w:r>
      <w:r>
        <w:rPr/>
        <w:t>2013-2016</w:t>
      </w:r>
      <w:r>
        <w:rPr>
          <w:spacing w:val="-1"/>
        </w:rPr>
        <w:t> </w:t>
      </w:r>
      <w:r>
        <w:rPr/>
        <w:t>y 2017-2020.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bookmarkStart w:name="_bookmark11" w:id="21"/>
      <w:bookmarkEnd w:id="21"/>
      <w:r>
        <w:rPr/>
      </w:r>
      <w:bookmarkStart w:name="_bookmark11" w:id="22"/>
      <w:bookmarkEnd w:id="22"/>
      <w:r>
        <w:rPr>
          <w:sz w:val="24"/>
        </w:rPr>
        <w:t>O</w:t>
      </w:r>
      <w:r>
        <w:rPr>
          <w:sz w:val="24"/>
        </w:rPr>
        <w:t>bjetivos</w:t>
      </w:r>
      <w:r>
        <w:rPr>
          <w:spacing w:val="-5"/>
          <w:sz w:val="24"/>
        </w:rPr>
        <w:t> </w:t>
      </w:r>
      <w:r>
        <w:rPr>
          <w:sz w:val="24"/>
        </w:rPr>
        <w:t>específicos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201" w:val="left" w:leader="none"/>
        </w:tabs>
        <w:spacing w:line="482" w:lineRule="auto" w:before="0" w:after="0"/>
        <w:ind w:left="1201" w:right="648" w:hanging="361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clínicas,</w:t>
      </w:r>
      <w:r>
        <w:rPr>
          <w:spacing w:val="1"/>
          <w:sz w:val="24"/>
        </w:rPr>
        <w:t> </w:t>
      </w:r>
      <w:r>
        <w:rPr>
          <w:sz w:val="24"/>
        </w:rPr>
        <w:t>inmunofenotípicas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sociodemográficas</w:t>
      </w:r>
      <w:r>
        <w:rPr>
          <w:spacing w:val="1"/>
          <w:sz w:val="24"/>
        </w:rPr>
        <w:t> </w:t>
      </w:r>
      <w:r>
        <w:rPr>
          <w:sz w:val="24"/>
        </w:rPr>
        <w:t>presentes al diagnóstico de los pacientes con LLA atendidos en la FOSCAL en el</w:t>
      </w:r>
      <w:r>
        <w:rPr>
          <w:spacing w:val="1"/>
          <w:sz w:val="24"/>
        </w:rPr>
        <w:t> </w:t>
      </w:r>
      <w:r>
        <w:rPr>
          <w:sz w:val="24"/>
        </w:rPr>
        <w:t>periodo 2013-2020.</w:t>
      </w:r>
    </w:p>
    <w:p>
      <w:pPr>
        <w:pStyle w:val="ListParagraph"/>
        <w:numPr>
          <w:ilvl w:val="2"/>
          <w:numId w:val="5"/>
        </w:numPr>
        <w:tabs>
          <w:tab w:pos="1201" w:val="left" w:leader="none"/>
        </w:tabs>
        <w:spacing w:line="480" w:lineRule="auto" w:before="0" w:after="0"/>
        <w:ind w:left="1201" w:right="647" w:hanging="361"/>
        <w:jc w:val="both"/>
        <w:rPr>
          <w:sz w:val="24"/>
        </w:rPr>
      </w:pPr>
      <w:r>
        <w:rPr>
          <w:sz w:val="24"/>
        </w:rPr>
        <w:t>Calcular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mortalidad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sobrevida</w:t>
      </w:r>
      <w:r>
        <w:rPr>
          <w:spacing w:val="1"/>
          <w:sz w:val="24"/>
        </w:rPr>
        <w:t> </w:t>
      </w:r>
      <w:r>
        <w:rPr>
          <w:sz w:val="24"/>
        </w:rPr>
        <w:t>libre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enfermedad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pacientes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LLA</w:t>
      </w:r>
      <w:r>
        <w:rPr>
          <w:spacing w:val="-3"/>
          <w:sz w:val="24"/>
        </w:rPr>
        <w:t> </w:t>
      </w:r>
      <w:r>
        <w:rPr>
          <w:sz w:val="24"/>
        </w:rPr>
        <w:t>atendidos</w:t>
      </w:r>
      <w:r>
        <w:rPr>
          <w:spacing w:val="-2"/>
          <w:sz w:val="24"/>
        </w:rPr>
        <w:t> </w:t>
      </w:r>
      <w:r>
        <w:rPr>
          <w:sz w:val="24"/>
        </w:rPr>
        <w:t>en la FOSCAL</w:t>
      </w:r>
      <w:r>
        <w:rPr>
          <w:spacing w:val="1"/>
          <w:sz w:val="24"/>
        </w:rPr>
        <w:t> </w:t>
      </w:r>
      <w:r>
        <w:rPr>
          <w:sz w:val="24"/>
        </w:rPr>
        <w:t>en el</w:t>
      </w:r>
      <w:r>
        <w:rPr>
          <w:spacing w:val="-1"/>
          <w:sz w:val="24"/>
        </w:rPr>
        <w:t> </w:t>
      </w:r>
      <w:r>
        <w:rPr>
          <w:sz w:val="24"/>
        </w:rPr>
        <w:t>periodo 2013-2020.</w:t>
      </w:r>
    </w:p>
    <w:p>
      <w:pPr>
        <w:pStyle w:val="ListParagraph"/>
        <w:numPr>
          <w:ilvl w:val="2"/>
          <w:numId w:val="5"/>
        </w:numPr>
        <w:tabs>
          <w:tab w:pos="1201" w:val="left" w:leader="none"/>
        </w:tabs>
        <w:spacing w:line="480" w:lineRule="auto" w:before="0" w:after="0"/>
        <w:ind w:left="1201" w:right="632" w:hanging="361"/>
        <w:jc w:val="both"/>
        <w:rPr>
          <w:sz w:val="24"/>
        </w:rPr>
      </w:pPr>
      <w:r>
        <w:rPr>
          <w:sz w:val="24"/>
        </w:rPr>
        <w:t>Identificar el porcentaje de enfermedad mínima residual presente al final de la</w:t>
      </w:r>
      <w:r>
        <w:rPr>
          <w:spacing w:val="1"/>
          <w:sz w:val="24"/>
        </w:rPr>
        <w:t> </w:t>
      </w:r>
      <w:r>
        <w:rPr>
          <w:sz w:val="24"/>
        </w:rPr>
        <w:t>inducción,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pacientes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LLA</w:t>
      </w:r>
      <w:r>
        <w:rPr>
          <w:spacing w:val="-3"/>
          <w:sz w:val="24"/>
        </w:rPr>
        <w:t> </w:t>
      </w:r>
      <w:r>
        <w:rPr>
          <w:sz w:val="24"/>
        </w:rPr>
        <w:t>atendidos</w:t>
      </w:r>
      <w:r>
        <w:rPr>
          <w:spacing w:val="-3"/>
          <w:sz w:val="24"/>
        </w:rPr>
        <w:t> </w:t>
      </w:r>
      <w:r>
        <w:rPr>
          <w:sz w:val="24"/>
        </w:rPr>
        <w:t>en la</w:t>
      </w:r>
      <w:r>
        <w:rPr>
          <w:spacing w:val="-4"/>
          <w:sz w:val="24"/>
        </w:rPr>
        <w:t> </w:t>
      </w:r>
      <w:r>
        <w:rPr>
          <w:sz w:val="24"/>
        </w:rPr>
        <w:t>FOSCAL en el</w:t>
      </w:r>
      <w:r>
        <w:rPr>
          <w:spacing w:val="-1"/>
          <w:sz w:val="24"/>
        </w:rPr>
        <w:t> </w:t>
      </w:r>
      <w:r>
        <w:rPr>
          <w:sz w:val="24"/>
        </w:rPr>
        <w:t>periodo</w:t>
      </w:r>
      <w:r>
        <w:rPr>
          <w:spacing w:val="-1"/>
          <w:sz w:val="24"/>
        </w:rPr>
        <w:t> </w:t>
      </w:r>
      <w:r>
        <w:rPr>
          <w:sz w:val="24"/>
        </w:rPr>
        <w:t>2013-2020.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ListParagraph"/>
        <w:numPr>
          <w:ilvl w:val="2"/>
          <w:numId w:val="5"/>
        </w:numPr>
        <w:tabs>
          <w:tab w:pos="1201" w:val="left" w:leader="none"/>
        </w:tabs>
        <w:spacing w:line="482" w:lineRule="auto" w:before="100" w:after="0"/>
        <w:ind w:left="1201" w:right="641" w:hanging="361"/>
        <w:jc w:val="both"/>
        <w:rPr>
          <w:sz w:val="24"/>
        </w:rPr>
      </w:pPr>
      <w:r>
        <w:rPr>
          <w:sz w:val="24"/>
        </w:rPr>
        <w:t>Analizar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asociación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clínicas,</w:t>
      </w:r>
      <w:r>
        <w:rPr>
          <w:spacing w:val="1"/>
          <w:sz w:val="24"/>
        </w:rPr>
        <w:t> </w:t>
      </w:r>
      <w:r>
        <w:rPr>
          <w:sz w:val="24"/>
        </w:rPr>
        <w:t>sociodemográficas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inmunofenotípicas presentes al diagnóstico, con recaída y mortalidad al año, en los</w:t>
      </w:r>
      <w:r>
        <w:rPr>
          <w:spacing w:val="1"/>
          <w:sz w:val="24"/>
        </w:rPr>
        <w:t> </w:t>
      </w:r>
      <w:r>
        <w:rPr>
          <w:sz w:val="24"/>
        </w:rPr>
        <w:t>pacientes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LLA</w:t>
      </w:r>
      <w:r>
        <w:rPr>
          <w:spacing w:val="-2"/>
          <w:sz w:val="24"/>
        </w:rPr>
        <w:t> </w:t>
      </w:r>
      <w:r>
        <w:rPr>
          <w:sz w:val="24"/>
        </w:rPr>
        <w:t>atendidos</w:t>
      </w:r>
      <w:r>
        <w:rPr>
          <w:spacing w:val="-2"/>
          <w:sz w:val="24"/>
        </w:rPr>
        <w:t> </w:t>
      </w:r>
      <w:r>
        <w:rPr>
          <w:sz w:val="24"/>
        </w:rPr>
        <w:t>en la</w:t>
      </w:r>
      <w:r>
        <w:rPr>
          <w:spacing w:val="1"/>
          <w:sz w:val="24"/>
        </w:rPr>
        <w:t> </w:t>
      </w:r>
      <w:r>
        <w:rPr>
          <w:sz w:val="24"/>
        </w:rPr>
        <w:t>FOSCAL</w:t>
      </w:r>
      <w:r>
        <w:rPr>
          <w:spacing w:val="1"/>
          <w:sz w:val="24"/>
        </w:rPr>
        <w:t> </w:t>
      </w:r>
      <w:r>
        <w:rPr>
          <w:sz w:val="24"/>
        </w:rPr>
        <w:t>en el periodo 2013-2020.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/>
        <w:t>M</w:t>
      </w:r>
      <w:r>
        <w:rPr/>
        <w:t>etodología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ListParagraph"/>
        <w:numPr>
          <w:ilvl w:val="1"/>
          <w:numId w:val="6"/>
        </w:numPr>
        <w:tabs>
          <w:tab w:pos="1201" w:val="left" w:leader="none"/>
        </w:tabs>
        <w:spacing w:line="240" w:lineRule="auto" w:before="0" w:after="0"/>
        <w:ind w:left="1201" w:right="0" w:hanging="721"/>
        <w:jc w:val="both"/>
        <w:rPr>
          <w:sz w:val="24"/>
        </w:rPr>
      </w:pPr>
      <w:bookmarkStart w:name="_bookmark13" w:id="25"/>
      <w:bookmarkEnd w:id="25"/>
      <w:r>
        <w:rPr/>
      </w:r>
      <w:bookmarkStart w:name="_bookmark13" w:id="26"/>
      <w:bookmarkEnd w:id="26"/>
      <w:r>
        <w:rPr>
          <w:sz w:val="24"/>
        </w:rPr>
        <w:t>T</w:t>
      </w:r>
      <w:r>
        <w:rPr>
          <w:sz w:val="24"/>
        </w:rPr>
        <w:t>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estudio</w:t>
      </w:r>
    </w:p>
    <w:p>
      <w:pPr>
        <w:pStyle w:val="BodyText"/>
      </w:pPr>
    </w:p>
    <w:p>
      <w:pPr>
        <w:pStyle w:val="BodyText"/>
        <w:spacing w:line="480" w:lineRule="auto"/>
        <w:ind w:left="480" w:right="643"/>
        <w:jc w:val="both"/>
      </w:pP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secundario</w:t>
      </w:r>
      <w:r>
        <w:rPr>
          <w:spacing w:val="-6"/>
        </w:rPr>
        <w:t> </w:t>
      </w:r>
      <w:r>
        <w:rPr/>
        <w:t>anidado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estudio</w:t>
      </w:r>
      <w:r>
        <w:rPr>
          <w:spacing w:val="-9"/>
        </w:rPr>
        <w:t> </w:t>
      </w:r>
      <w:r>
        <w:rPr/>
        <w:t>“Registro</w:t>
      </w:r>
      <w:r>
        <w:rPr>
          <w:spacing w:val="-9"/>
        </w:rPr>
        <w:t> </w:t>
      </w:r>
      <w:r>
        <w:rPr/>
        <w:t>Epidemiológico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pacientes</w:t>
      </w:r>
      <w:r>
        <w:rPr>
          <w:spacing w:val="-14"/>
        </w:rPr>
        <w:t> </w:t>
      </w:r>
      <w:r>
        <w:rPr/>
        <w:t>adultos</w:t>
      </w:r>
      <w:r>
        <w:rPr>
          <w:spacing w:val="-58"/>
        </w:rPr>
        <w:t> </w:t>
      </w:r>
      <w:r>
        <w:rPr/>
        <w:t>con leucemia linfoblástica aguda” que se desarrolla en la Fundación Oftalmológica de</w:t>
      </w:r>
      <w:r>
        <w:rPr>
          <w:spacing w:val="1"/>
        </w:rPr>
        <w:t> </w:t>
      </w:r>
      <w:r>
        <w:rPr/>
        <w:t>Santander-</w:t>
      </w:r>
      <w:r>
        <w:rPr>
          <w:spacing w:val="58"/>
        </w:rPr>
        <w:t> </w:t>
      </w:r>
      <w:r>
        <w:rPr/>
        <w:t>FOSCAL”,</w:t>
      </w:r>
      <w:r>
        <w:rPr>
          <w:spacing w:val="-1"/>
        </w:rPr>
        <w:t> </w:t>
      </w:r>
      <w:r>
        <w:rPr/>
        <w:t>investigadora principal Dra.</w:t>
      </w:r>
      <w:r>
        <w:rPr>
          <w:spacing w:val="-1"/>
        </w:rPr>
        <w:t> </w:t>
      </w:r>
      <w:r>
        <w:rPr/>
        <w:t>Claudia Lucia Sossa Melo.</w:t>
      </w:r>
    </w:p>
    <w:p>
      <w:pPr>
        <w:pStyle w:val="ListParagraph"/>
        <w:numPr>
          <w:ilvl w:val="1"/>
          <w:numId w:val="6"/>
        </w:numPr>
        <w:tabs>
          <w:tab w:pos="1201" w:val="left" w:leader="none"/>
        </w:tabs>
        <w:spacing w:line="240" w:lineRule="auto" w:before="41" w:after="0"/>
        <w:ind w:left="1201" w:right="0" w:hanging="721"/>
        <w:jc w:val="both"/>
        <w:rPr>
          <w:sz w:val="24"/>
        </w:rPr>
      </w:pPr>
      <w:bookmarkStart w:name="_bookmark14" w:id="27"/>
      <w:bookmarkEnd w:id="27"/>
      <w:r>
        <w:rPr/>
      </w:r>
      <w:bookmarkStart w:name="_bookmark14" w:id="28"/>
      <w:bookmarkEnd w:id="28"/>
      <w:r>
        <w:rPr>
          <w:sz w:val="24"/>
        </w:rPr>
        <w:t>P</w:t>
      </w:r>
      <w:r>
        <w:rPr>
          <w:sz w:val="24"/>
        </w:rPr>
        <w:t>oblación</w:t>
      </w:r>
    </w:p>
    <w:p>
      <w:pPr>
        <w:pStyle w:val="BodyText"/>
      </w:pPr>
    </w:p>
    <w:p>
      <w:pPr>
        <w:pStyle w:val="BodyText"/>
        <w:spacing w:line="480" w:lineRule="auto"/>
        <w:ind w:left="480" w:right="638" w:firstLine="720"/>
        <w:jc w:val="both"/>
      </w:pP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anonimizada, 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diagnóstico de leucemia linfoblástica aguda atendidos en la Clínica FOSCAL, durante el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</w:t>
      </w:r>
      <w:r>
        <w:rPr>
          <w:spacing w:val="-5"/>
        </w:rPr>
        <w:t> </w:t>
      </w:r>
      <w:r>
        <w:rPr/>
        <w:t>comprendido</w:t>
      </w:r>
      <w:r>
        <w:rPr>
          <w:spacing w:val="3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años 2013 a</w:t>
      </w:r>
      <w:r>
        <w:rPr>
          <w:spacing w:val="1"/>
        </w:rPr>
        <w:t> </w:t>
      </w:r>
      <w:r>
        <w:rPr/>
        <w:t>junio de</w:t>
      </w:r>
      <w:r>
        <w:rPr>
          <w:spacing w:val="1"/>
        </w:rPr>
        <w:t> </w:t>
      </w:r>
      <w:r>
        <w:rPr/>
        <w:t>2020</w:t>
      </w:r>
    </w:p>
    <w:p>
      <w:pPr>
        <w:pStyle w:val="BodyText"/>
        <w:spacing w:line="480" w:lineRule="auto"/>
        <w:ind w:left="480" w:right="638" w:firstLine="720"/>
        <w:jc w:val="both"/>
      </w:pPr>
      <w:r>
        <w:rPr/>
        <w:t>Centro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enrolamiento:</w:t>
      </w:r>
      <w:r>
        <w:rPr>
          <w:spacing w:val="-8"/>
        </w:rPr>
        <w:t> </w:t>
      </w:r>
      <w:r>
        <w:rPr/>
        <w:t>FOSCAL</w:t>
      </w:r>
      <w:r>
        <w:rPr>
          <w:spacing w:val="-6"/>
        </w:rPr>
        <w:t> </w:t>
      </w:r>
      <w:r>
        <w:rPr/>
        <w:t>–</w:t>
      </w:r>
      <w:r>
        <w:rPr>
          <w:spacing w:val="-10"/>
        </w:rPr>
        <w:t> </w:t>
      </w:r>
      <w:r>
        <w:rPr/>
        <w:t>Fundación</w:t>
      </w:r>
      <w:r>
        <w:rPr>
          <w:spacing w:val="-9"/>
        </w:rPr>
        <w:t> </w:t>
      </w:r>
      <w:r>
        <w:rPr/>
        <w:t>Oftalmológica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Santander</w:t>
      </w:r>
      <w:r>
        <w:rPr>
          <w:spacing w:val="-5"/>
        </w:rPr>
        <w:t> </w:t>
      </w:r>
      <w:r>
        <w:rPr/>
        <w:t>–</w:t>
      </w:r>
      <w:r>
        <w:rPr>
          <w:spacing w:val="-10"/>
        </w:rPr>
        <w:t> </w:t>
      </w:r>
      <w:r>
        <w:rPr/>
        <w:t>Carlos</w:t>
      </w:r>
      <w:r>
        <w:rPr>
          <w:spacing w:val="-58"/>
        </w:rPr>
        <w:t> </w:t>
      </w:r>
      <w:r>
        <w:rPr/>
        <w:t>Ardila Lulle. Ciudad:</w:t>
      </w:r>
      <w:r>
        <w:rPr>
          <w:spacing w:val="2"/>
        </w:rPr>
        <w:t> </w:t>
      </w:r>
      <w:r>
        <w:rPr/>
        <w:t>Floridablanca, Santander, Colombia.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21"/>
        <w:jc w:val="left"/>
        <w:rPr>
          <w:sz w:val="24"/>
        </w:rPr>
      </w:pPr>
      <w:bookmarkStart w:name="_bookmark15" w:id="29"/>
      <w:bookmarkEnd w:id="29"/>
      <w:r>
        <w:rPr/>
      </w:r>
      <w:bookmarkStart w:name="_bookmark15" w:id="30"/>
      <w:bookmarkEnd w:id="30"/>
      <w:r>
        <w:rPr>
          <w:sz w:val="24"/>
        </w:rPr>
        <w:t>Crit</w:t>
      </w:r>
      <w:r>
        <w:rPr>
          <w:sz w:val="24"/>
        </w:rPr>
        <w:t>erios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inclusión y</w:t>
      </w:r>
      <w:r>
        <w:rPr>
          <w:spacing w:val="-5"/>
          <w:sz w:val="24"/>
        </w:rPr>
        <w:t> </w:t>
      </w:r>
      <w:r>
        <w:rPr>
          <w:sz w:val="24"/>
        </w:rPr>
        <w:t>exclusión</w:t>
      </w:r>
    </w:p>
    <w:p>
      <w:pPr>
        <w:pStyle w:val="BodyText"/>
        <w:spacing w:after="1"/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5998"/>
      </w:tblGrid>
      <w:tr>
        <w:trPr>
          <w:trHeight w:val="1654" w:hRule="atLeast"/>
        </w:trPr>
        <w:tc>
          <w:tcPr>
            <w:tcW w:w="2833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Criterios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inclusión</w:t>
            </w:r>
          </w:p>
        </w:tc>
        <w:tc>
          <w:tcPr>
            <w:tcW w:w="5998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mayores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años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diagnóstico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550" w:lineRule="atLeast" w:before="2"/>
              <w:ind w:left="106"/>
              <w:rPr>
                <w:sz w:val="24"/>
              </w:rPr>
            </w:pPr>
            <w:r>
              <w:rPr>
                <w:sz w:val="24"/>
              </w:rPr>
              <w:t>Leucemia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Linfoblástica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aguda,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atendidos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periodo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tiempo 2013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 junio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Clínica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FOSCAL.</w:t>
            </w:r>
          </w:p>
        </w:tc>
      </w:tr>
      <w:tr>
        <w:trPr>
          <w:trHeight w:val="1102" w:hRule="atLeast"/>
        </w:trPr>
        <w:tc>
          <w:tcPr>
            <w:tcW w:w="2833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Criterios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exclusión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Registros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autorización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envío</w:t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de información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 bases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datos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locales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100" w:after="0"/>
        <w:ind w:left="1201" w:right="0" w:hanging="721"/>
        <w:jc w:val="left"/>
        <w:rPr>
          <w:sz w:val="24"/>
        </w:rPr>
      </w:pPr>
      <w:bookmarkStart w:name="_bookmark16" w:id="31"/>
      <w:bookmarkEnd w:id="31"/>
      <w:r>
        <w:rPr/>
      </w:r>
      <w:bookmarkStart w:name="_bookmark16" w:id="32"/>
      <w:bookmarkEnd w:id="32"/>
      <w:r>
        <w:rPr>
          <w:sz w:val="24"/>
        </w:rPr>
        <w:t>M</w:t>
      </w:r>
      <w:r>
        <w:rPr>
          <w:sz w:val="24"/>
        </w:rPr>
        <w:t>uestra</w:t>
      </w:r>
    </w:p>
    <w:p>
      <w:pPr>
        <w:pStyle w:val="BodyText"/>
      </w:pPr>
    </w:p>
    <w:p>
      <w:pPr>
        <w:pStyle w:val="BodyText"/>
        <w:spacing w:line="480" w:lineRule="auto"/>
        <w:ind w:left="480" w:right="638" w:firstLine="708"/>
        <w:jc w:val="both"/>
      </w:pPr>
      <w:r>
        <w:rPr/>
        <w:t>Se calculó un tamaño de muestra basado en un HR de mortalidad de</w:t>
      </w:r>
      <w:r>
        <w:rPr>
          <w:spacing w:val="1"/>
        </w:rPr>
        <w:t> </w:t>
      </w:r>
      <w:r>
        <w:rPr/>
        <w:t>0.54, con base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Gökbuget</w:t>
      </w:r>
      <w:r>
        <w:rPr>
          <w:spacing w:val="2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4"/>
        </w:rPr>
        <w:t> </w:t>
      </w:r>
      <w:r>
        <w:rPr/>
        <w:t>(23)</w:t>
      </w:r>
      <w:r>
        <w:rPr>
          <w:spacing w:val="58"/>
        </w:rPr>
        <w:t> </w:t>
      </w:r>
      <w:r>
        <w:rPr/>
        <w:t>teniendo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parametros</w:t>
      </w:r>
      <w:r>
        <w:rPr>
          <w:spacing w:val="-2"/>
        </w:rPr>
        <w:t> </w:t>
      </w:r>
      <w:r>
        <w:rPr/>
        <w:t>un</w:t>
      </w:r>
      <w:r>
        <w:rPr>
          <w:spacing w:val="59"/>
        </w:rPr>
        <w:t> </w:t>
      </w:r>
      <w:r>
        <w:rPr/>
        <w:t>poder</w:t>
      </w:r>
      <w:r>
        <w:rPr>
          <w:spacing w:val="-5"/>
        </w:rPr>
        <w:t> </w:t>
      </w:r>
      <w:r>
        <w:rPr/>
        <w:t>del 80%</w:t>
      </w:r>
      <w:r>
        <w:rPr>
          <w:spacing w:val="-5"/>
        </w:rPr>
        <w:t> </w:t>
      </w:r>
      <w:r>
        <w:rPr/>
        <w:t>un nivel</w:t>
      </w:r>
      <w:r>
        <w:rPr>
          <w:spacing w:val="-58"/>
        </w:rPr>
        <w:t> </w:t>
      </w:r>
      <w:r>
        <w:rPr/>
        <w:t>de significancia de 0,05, dando como resultado una cantidad mínima de eventos de 42</w:t>
      </w:r>
      <w:r>
        <w:rPr>
          <w:spacing w:val="1"/>
        </w:rPr>
        <w:t> </w:t>
      </w:r>
      <w:r>
        <w:rPr/>
        <w:t>pacientes.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721"/>
        <w:jc w:val="left"/>
        <w:rPr>
          <w:sz w:val="24"/>
        </w:rPr>
      </w:pPr>
      <w:bookmarkStart w:name="_bookmark17" w:id="33"/>
      <w:bookmarkEnd w:id="33"/>
      <w:r>
        <w:rPr/>
      </w:r>
      <w:bookmarkStart w:name="_bookmark17" w:id="34"/>
      <w:bookmarkEnd w:id="34"/>
      <w:r>
        <w:rPr>
          <w:sz w:val="24"/>
        </w:rPr>
        <w:t>R</w:t>
      </w:r>
      <w:r>
        <w:rPr>
          <w:sz w:val="24"/>
        </w:rPr>
        <w:t>ecolección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</w:p>
    <w:p>
      <w:pPr>
        <w:pStyle w:val="BodyText"/>
      </w:pPr>
    </w:p>
    <w:p>
      <w:pPr>
        <w:pStyle w:val="BodyText"/>
        <w:spacing w:line="480" w:lineRule="auto"/>
        <w:ind w:left="480" w:right="638" w:firstLine="720"/>
        <w:jc w:val="both"/>
      </w:pPr>
      <w:r>
        <w:rPr/>
        <w:t>Se elaboró un formulario de recolección de datos (FRD) en el cual se incluyeron</w:t>
      </w:r>
      <w:r>
        <w:rPr>
          <w:spacing w:val="1"/>
        </w:rPr>
        <w:t> </w:t>
      </w:r>
      <w:r>
        <w:rPr/>
        <w:t>variables sociodemográficas, clínicas, de laboratorio e inmunofenotípicas. Este formato se</w:t>
      </w:r>
      <w:r>
        <w:rPr>
          <w:spacing w:val="1"/>
        </w:rPr>
        <w:t> </w:t>
      </w:r>
      <w:r>
        <w:rPr/>
        <w:t>llenó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anonimizada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con</w:t>
      </w:r>
      <w:r>
        <w:rPr>
          <w:spacing w:val="-57"/>
        </w:rPr>
        <w:t> </w:t>
      </w:r>
      <w:r>
        <w:rPr/>
        <w:t>diagnóstico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LLA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FOSCAL.</w:t>
      </w:r>
      <w:r>
        <w:rPr>
          <w:spacing w:val="-4"/>
        </w:rPr>
        <w:t> </w:t>
      </w:r>
      <w:r>
        <w:rPr/>
        <w:t>Posteriormente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auditaron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tipo,</w:t>
      </w:r>
      <w:r>
        <w:rPr>
          <w:spacing w:val="-57"/>
        </w:rPr>
        <w:t> </w:t>
      </w:r>
      <w:r>
        <w:rPr/>
        <w:t>rangos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valores.</w:t>
      </w:r>
    </w:p>
    <w:p>
      <w:pPr>
        <w:pStyle w:val="BodyText"/>
        <w:spacing w:line="480" w:lineRule="auto" w:before="1"/>
        <w:ind w:left="480" w:right="633" w:firstLine="720"/>
        <w:jc w:val="both"/>
      </w:pPr>
      <w:r>
        <w:rPr/>
        <w:t>Para el registro de mortalidad,</w:t>
      </w:r>
      <w:r>
        <w:rPr>
          <w:spacing w:val="1"/>
        </w:rPr>
        <w:t> </w:t>
      </w:r>
      <w:r>
        <w:rPr/>
        <w:t>se buscó el estado vital mediante la revisión de bases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datos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libre</w:t>
      </w:r>
      <w:r>
        <w:rPr>
          <w:spacing w:val="-11"/>
        </w:rPr>
        <w:t> </w:t>
      </w:r>
      <w:r>
        <w:rPr>
          <w:spacing w:val="-1"/>
        </w:rPr>
        <w:t>acceso</w:t>
      </w:r>
      <w:r>
        <w:rPr>
          <w:spacing w:val="-12"/>
        </w:rPr>
        <w:t> </w:t>
      </w:r>
      <w:r>
        <w:rPr>
          <w:spacing w:val="-1"/>
        </w:rPr>
        <w:t>nacional,</w:t>
      </w:r>
      <w:r>
        <w:rPr>
          <w:spacing w:val="-11"/>
        </w:rPr>
        <w:t> </w:t>
      </w:r>
      <w:r>
        <w:rPr>
          <w:spacing w:val="-1"/>
        </w:rPr>
        <w:t>tales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Fosyga,</w:t>
      </w:r>
      <w:r>
        <w:rPr>
          <w:spacing w:val="-12"/>
        </w:rPr>
        <w:t> </w:t>
      </w:r>
      <w:r>
        <w:rPr/>
        <w:t>Registraduría</w:t>
      </w:r>
      <w:r>
        <w:rPr>
          <w:spacing w:val="-11"/>
        </w:rPr>
        <w:t> </w:t>
      </w:r>
      <w:r>
        <w:rPr/>
        <w:t>Nacional,</w:t>
      </w:r>
      <w:r>
        <w:rPr>
          <w:spacing w:val="-11"/>
        </w:rPr>
        <w:t> </w:t>
      </w:r>
      <w:r>
        <w:rPr/>
        <w:t>Sisben,</w:t>
      </w:r>
      <w:r>
        <w:rPr>
          <w:spacing w:val="-12"/>
        </w:rPr>
        <w:t> </w:t>
      </w:r>
      <w:r>
        <w:rPr/>
        <w:t>RUAF.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Hi</w:t>
      </w:r>
      <w:r>
        <w:rPr/>
        <w:t>pótesis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638"/>
        <w:jc w:val="both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: Los valores de enfermedad mínima residual al final de la inducción son iguales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15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-14"/>
          <w:vertAlign w:val="baseline"/>
        </w:rPr>
        <w:t> </w:t>
      </w:r>
      <w:r>
        <w:rPr>
          <w:vertAlign w:val="baseline"/>
        </w:rPr>
        <w:t>FOSCAL</w:t>
      </w:r>
      <w:r>
        <w:rPr>
          <w:spacing w:val="-14"/>
          <w:vertAlign w:val="baseline"/>
        </w:rPr>
        <w:t> </w:t>
      </w:r>
      <w:r>
        <w:rPr>
          <w:vertAlign w:val="baseline"/>
        </w:rPr>
        <w:t>del</w:t>
      </w:r>
      <w:r>
        <w:rPr>
          <w:spacing w:val="-14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2013</w:t>
      </w:r>
      <w:r>
        <w:rPr>
          <w:spacing w:val="-8"/>
          <w:vertAlign w:val="baseline"/>
        </w:rPr>
        <w:t> </w:t>
      </w:r>
      <w:r>
        <w:rPr>
          <w:vertAlign w:val="baseline"/>
        </w:rPr>
        <w:t>-</w:t>
      </w:r>
      <w:r>
        <w:rPr>
          <w:spacing w:val="-15"/>
          <w:vertAlign w:val="baseline"/>
        </w:rPr>
        <w:t> </w:t>
      </w:r>
      <w:r>
        <w:rPr>
          <w:vertAlign w:val="baseline"/>
        </w:rPr>
        <w:t>2016</w:t>
      </w:r>
      <w:r>
        <w:rPr>
          <w:spacing w:val="-14"/>
          <w:vertAlign w:val="baseline"/>
        </w:rPr>
        <w:t> </w:t>
      </w:r>
      <w:r>
        <w:rPr>
          <w:vertAlign w:val="baseline"/>
        </w:rPr>
        <w:t>en</w:t>
      </w:r>
      <w:r>
        <w:rPr>
          <w:spacing w:val="-14"/>
          <w:vertAlign w:val="baseline"/>
        </w:rPr>
        <w:t> </w:t>
      </w:r>
      <w:r>
        <w:rPr>
          <w:vertAlign w:val="baseline"/>
        </w:rPr>
        <w:t>comparación</w:t>
      </w:r>
      <w:r>
        <w:rPr>
          <w:spacing w:val="-15"/>
          <w:vertAlign w:val="baseline"/>
        </w:rPr>
        <w:t> </w:t>
      </w:r>
      <w:r>
        <w:rPr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presentada</w:t>
      </w:r>
      <w:r>
        <w:rPr>
          <w:spacing w:val="-58"/>
          <w:vertAlign w:val="baseline"/>
        </w:rPr>
        <w:t> </w:t>
      </w:r>
      <w:r>
        <w:rPr>
          <w:vertAlign w:val="baseline"/>
        </w:rPr>
        <w:t>en el periodo 2017-2020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638"/>
        <w:jc w:val="both"/>
      </w:pPr>
      <w:r>
        <w:rPr/>
        <w:t>H</w:t>
      </w:r>
      <w:r>
        <w:rPr>
          <w:vertAlign w:val="subscript"/>
        </w:rPr>
        <w:t>1</w:t>
      </w:r>
      <w:r>
        <w:rPr>
          <w:vertAlign w:val="baseline"/>
        </w:rPr>
        <w:t>: Los valores de enfermedad mínima residual al final de la inducción son menores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15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-14"/>
          <w:vertAlign w:val="baseline"/>
        </w:rPr>
        <w:t> </w:t>
      </w:r>
      <w:r>
        <w:rPr>
          <w:vertAlign w:val="baseline"/>
        </w:rPr>
        <w:t>FOSCAL</w:t>
      </w:r>
      <w:r>
        <w:rPr>
          <w:spacing w:val="-14"/>
          <w:vertAlign w:val="baseline"/>
        </w:rPr>
        <w:t> </w:t>
      </w:r>
      <w:r>
        <w:rPr>
          <w:vertAlign w:val="baseline"/>
        </w:rPr>
        <w:t>del</w:t>
      </w:r>
      <w:r>
        <w:rPr>
          <w:spacing w:val="-14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2013</w:t>
      </w:r>
      <w:r>
        <w:rPr>
          <w:spacing w:val="-8"/>
          <w:vertAlign w:val="baseline"/>
        </w:rPr>
        <w:t> </w:t>
      </w:r>
      <w:r>
        <w:rPr>
          <w:vertAlign w:val="baseline"/>
        </w:rPr>
        <w:t>-</w:t>
      </w:r>
      <w:r>
        <w:rPr>
          <w:spacing w:val="-15"/>
          <w:vertAlign w:val="baseline"/>
        </w:rPr>
        <w:t> </w:t>
      </w:r>
      <w:r>
        <w:rPr>
          <w:vertAlign w:val="baseline"/>
        </w:rPr>
        <w:t>2016</w:t>
      </w:r>
      <w:r>
        <w:rPr>
          <w:spacing w:val="-14"/>
          <w:vertAlign w:val="baseline"/>
        </w:rPr>
        <w:t> </w:t>
      </w:r>
      <w:r>
        <w:rPr>
          <w:vertAlign w:val="baseline"/>
        </w:rPr>
        <w:t>en</w:t>
      </w:r>
      <w:r>
        <w:rPr>
          <w:spacing w:val="-14"/>
          <w:vertAlign w:val="baseline"/>
        </w:rPr>
        <w:t> </w:t>
      </w:r>
      <w:r>
        <w:rPr>
          <w:vertAlign w:val="baseline"/>
        </w:rPr>
        <w:t>comparación</w:t>
      </w:r>
      <w:r>
        <w:rPr>
          <w:spacing w:val="-15"/>
          <w:vertAlign w:val="baseline"/>
        </w:rPr>
        <w:t> </w:t>
      </w:r>
      <w:r>
        <w:rPr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presentada</w:t>
      </w:r>
      <w:r>
        <w:rPr>
          <w:spacing w:val="-58"/>
          <w:vertAlign w:val="baseline"/>
        </w:rPr>
        <w:t> </w:t>
      </w:r>
      <w:r>
        <w:rPr>
          <w:vertAlign w:val="baseline"/>
        </w:rPr>
        <w:t>en el periodo 2017-2020.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80"/>
        <w:jc w:val="both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: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mortalidad</w:t>
      </w:r>
      <w:r>
        <w:rPr>
          <w:spacing w:val="-12"/>
          <w:vertAlign w:val="baseline"/>
        </w:rPr>
        <w:t> </w:t>
      </w:r>
      <w:r>
        <w:rPr>
          <w:vertAlign w:val="baseline"/>
        </w:rPr>
        <w:t>al</w:t>
      </w:r>
      <w:r>
        <w:rPr>
          <w:spacing w:val="-12"/>
          <w:vertAlign w:val="baseline"/>
        </w:rPr>
        <w:t> </w:t>
      </w:r>
      <w:r>
        <w:rPr>
          <w:vertAlign w:val="baseline"/>
        </w:rPr>
        <w:t>año</w:t>
      </w:r>
      <w:r>
        <w:rPr>
          <w:spacing w:val="-12"/>
          <w:vertAlign w:val="baseline"/>
        </w:rPr>
        <w:t> </w:t>
      </w:r>
      <w:r>
        <w:rPr>
          <w:vertAlign w:val="baseline"/>
        </w:rPr>
        <w:t>es</w:t>
      </w:r>
      <w:r>
        <w:rPr>
          <w:spacing w:val="-15"/>
          <w:vertAlign w:val="baseline"/>
        </w:rPr>
        <w:t> </w:t>
      </w:r>
      <w:r>
        <w:rPr>
          <w:vertAlign w:val="baseline"/>
        </w:rPr>
        <w:t>igual</w:t>
      </w:r>
      <w:r>
        <w:rPr>
          <w:spacing w:val="-12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12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-13"/>
          <w:vertAlign w:val="baseline"/>
        </w:rPr>
        <w:t> </w:t>
      </w:r>
      <w:r>
        <w:rPr>
          <w:vertAlign w:val="baseline"/>
        </w:rPr>
        <w:t>FOSCAL</w:t>
      </w:r>
      <w:r>
        <w:rPr>
          <w:spacing w:val="-11"/>
          <w:vertAlign w:val="baseline"/>
        </w:rPr>
        <w:t> </w:t>
      </w:r>
      <w:r>
        <w:rPr>
          <w:vertAlign w:val="baseline"/>
        </w:rPr>
        <w:t>del</w:t>
      </w:r>
      <w:r>
        <w:rPr>
          <w:spacing w:val="-12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2013</w:t>
      </w:r>
    </w:p>
    <w:p>
      <w:pPr>
        <w:spacing w:after="0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100"/>
        <w:ind w:left="480"/>
      </w:pPr>
      <w:r>
        <w:rPr/>
        <w:t>- 2016 en comparación 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presentada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el periodo 2017-2020.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480" w:right="648"/>
      </w:pPr>
      <w:r>
        <w:rPr/>
        <w:t>H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vertAlign w:val="baseline"/>
        </w:rPr>
        <w:t>La</w:t>
      </w:r>
      <w:r>
        <w:rPr>
          <w:spacing w:val="6"/>
          <w:vertAlign w:val="baseline"/>
        </w:rPr>
        <w:t> </w:t>
      </w:r>
      <w:r>
        <w:rPr>
          <w:vertAlign w:val="baseline"/>
        </w:rPr>
        <w:t>mortalidad</w:t>
      </w:r>
      <w:r>
        <w:rPr>
          <w:spacing w:val="2"/>
          <w:vertAlign w:val="baseline"/>
        </w:rPr>
        <w:t> </w:t>
      </w:r>
      <w:r>
        <w:rPr>
          <w:vertAlign w:val="baseline"/>
        </w:rPr>
        <w:t>al</w:t>
      </w:r>
      <w:r>
        <w:rPr>
          <w:spacing w:val="7"/>
          <w:vertAlign w:val="baseline"/>
        </w:rPr>
        <w:t> </w:t>
      </w:r>
      <w:r>
        <w:rPr>
          <w:vertAlign w:val="baseline"/>
        </w:rPr>
        <w:t>año</w:t>
      </w:r>
      <w:r>
        <w:rPr>
          <w:spacing w:val="5"/>
          <w:vertAlign w:val="baseline"/>
        </w:rPr>
        <w:t> </w:t>
      </w:r>
      <w:r>
        <w:rPr>
          <w:vertAlign w:val="baseline"/>
        </w:rPr>
        <w:t>disminuyó</w:t>
      </w:r>
      <w:r>
        <w:rPr>
          <w:spacing w:val="6"/>
          <w:vertAlign w:val="baseline"/>
        </w:rPr>
        <w:t> </w:t>
      </w:r>
      <w:r>
        <w:rPr>
          <w:vertAlign w:val="baseline"/>
        </w:rPr>
        <w:t>en</w:t>
      </w:r>
      <w:r>
        <w:rPr>
          <w:spacing w:val="5"/>
          <w:vertAlign w:val="baseline"/>
        </w:rPr>
        <w:t> </w:t>
      </w:r>
      <w:r>
        <w:rPr>
          <w:vertAlign w:val="baseline"/>
        </w:rPr>
        <w:t>el</w:t>
      </w:r>
      <w:r>
        <w:rPr>
          <w:spacing w:val="4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5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6"/>
          <w:vertAlign w:val="baseline"/>
        </w:rPr>
        <w:t> </w:t>
      </w:r>
      <w:r>
        <w:rPr>
          <w:vertAlign w:val="baseline"/>
        </w:rPr>
        <w:t>FOSCAL</w:t>
      </w:r>
      <w:r>
        <w:rPr>
          <w:spacing w:val="6"/>
          <w:vertAlign w:val="baseline"/>
        </w:rPr>
        <w:t> </w:t>
      </w:r>
      <w:r>
        <w:rPr>
          <w:vertAlign w:val="baseline"/>
        </w:rPr>
        <w:t>del</w:t>
      </w:r>
      <w:r>
        <w:rPr>
          <w:spacing w:val="6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2013</w:t>
      </w:r>
      <w:r>
        <w:rPr>
          <w:spacing w:val="-2"/>
          <w:vertAlign w:val="baseline"/>
        </w:rPr>
        <w:t> </w:t>
      </w:r>
      <w:r>
        <w:rPr>
          <w:vertAlign w:val="baseline"/>
        </w:rPr>
        <w:t>- 2016 en comparación a</w:t>
      </w:r>
      <w:r>
        <w:rPr>
          <w:spacing w:val="1"/>
          <w:vertAlign w:val="baseline"/>
        </w:rPr>
        <w:t> </w:t>
      </w:r>
      <w:r>
        <w:rPr>
          <w:vertAlign w:val="baseline"/>
        </w:rPr>
        <w:t>la presentada</w:t>
      </w:r>
      <w:r>
        <w:rPr>
          <w:spacing w:val="1"/>
          <w:vertAlign w:val="baseline"/>
        </w:rPr>
        <w:t> </w:t>
      </w:r>
      <w:r>
        <w:rPr>
          <w:vertAlign w:val="baseline"/>
        </w:rPr>
        <w:t>en el periodo 2017-2020.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80" w:right="414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: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sobrevida</w:t>
      </w:r>
      <w:r>
        <w:rPr>
          <w:spacing w:val="-9"/>
          <w:vertAlign w:val="baseline"/>
        </w:rPr>
        <w:t> </w:t>
      </w:r>
      <w:r>
        <w:rPr>
          <w:vertAlign w:val="baseline"/>
        </w:rPr>
        <w:t>libre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enfermedad</w:t>
      </w:r>
      <w:r>
        <w:rPr>
          <w:spacing w:val="-10"/>
          <w:vertAlign w:val="baseline"/>
        </w:rPr>
        <w:t> </w:t>
      </w:r>
      <w:r>
        <w:rPr>
          <w:vertAlign w:val="baseline"/>
        </w:rPr>
        <w:t>al</w:t>
      </w:r>
      <w:r>
        <w:rPr>
          <w:spacing w:val="-6"/>
          <w:vertAlign w:val="baseline"/>
        </w:rPr>
        <w:t> </w:t>
      </w:r>
      <w:r>
        <w:rPr>
          <w:vertAlign w:val="baseline"/>
        </w:rPr>
        <w:t>año</w:t>
      </w:r>
      <w:r>
        <w:rPr>
          <w:spacing w:val="-7"/>
          <w:vertAlign w:val="baseline"/>
        </w:rPr>
        <w:t> </w:t>
      </w:r>
      <w:r>
        <w:rPr>
          <w:vertAlign w:val="baseline"/>
        </w:rPr>
        <w:t>es</w:t>
      </w:r>
      <w:r>
        <w:rPr>
          <w:spacing w:val="-8"/>
          <w:vertAlign w:val="baseline"/>
        </w:rPr>
        <w:t> </w:t>
      </w:r>
      <w:r>
        <w:rPr>
          <w:vertAlign w:val="baseline"/>
        </w:rPr>
        <w:t>igual</w:t>
      </w:r>
      <w:r>
        <w:rPr>
          <w:spacing w:val="-6"/>
          <w:vertAlign w:val="baseline"/>
        </w:rPr>
        <w:t> </w:t>
      </w:r>
      <w:r>
        <w:rPr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6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-8"/>
          <w:vertAlign w:val="baseline"/>
        </w:rPr>
        <w:t> </w:t>
      </w:r>
      <w:r>
        <w:rPr>
          <w:vertAlign w:val="baseline"/>
        </w:rPr>
        <w:t>FOSCAL</w:t>
      </w:r>
      <w:r>
        <w:rPr>
          <w:spacing w:val="-57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periodo de</w:t>
      </w:r>
      <w:r>
        <w:rPr>
          <w:spacing w:val="1"/>
          <w:vertAlign w:val="baseline"/>
        </w:rPr>
        <w:t> </w:t>
      </w:r>
      <w:r>
        <w:rPr>
          <w:vertAlign w:val="baseline"/>
        </w:rPr>
        <w:t>2013 - 2016 en</w:t>
      </w:r>
      <w:r>
        <w:rPr>
          <w:spacing w:val="-6"/>
          <w:vertAlign w:val="baseline"/>
        </w:rPr>
        <w:t> </w:t>
      </w:r>
      <w:r>
        <w:rPr>
          <w:vertAlign w:val="baseline"/>
        </w:rPr>
        <w:t>comparación a</w:t>
      </w:r>
      <w:r>
        <w:rPr>
          <w:spacing w:val="1"/>
          <w:vertAlign w:val="baseline"/>
        </w:rPr>
        <w:t> </w:t>
      </w:r>
      <w:r>
        <w:rPr>
          <w:vertAlign w:val="baseline"/>
        </w:rPr>
        <w:t>la presentada</w:t>
      </w:r>
      <w:r>
        <w:rPr>
          <w:spacing w:val="1"/>
          <w:vertAlign w:val="baseline"/>
        </w:rPr>
        <w:t> </w:t>
      </w:r>
      <w:r>
        <w:rPr>
          <w:vertAlign w:val="baseline"/>
        </w:rPr>
        <w:t>en el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periodo 2017-2020.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630"/>
      </w:pPr>
      <w:r>
        <w:rPr>
          <w:spacing w:val="-1"/>
        </w:rPr>
        <w:t>H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: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sobrevida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libre</w:t>
      </w:r>
      <w:r>
        <w:rPr>
          <w:spacing w:val="-15"/>
          <w:vertAlign w:val="baseline"/>
        </w:rPr>
        <w:t> </w:t>
      </w:r>
      <w:r>
        <w:rPr>
          <w:vertAlign w:val="baseline"/>
        </w:rPr>
        <w:t>de</w:t>
      </w:r>
      <w:r>
        <w:rPr>
          <w:spacing w:val="-15"/>
          <w:vertAlign w:val="baseline"/>
        </w:rPr>
        <w:t> </w:t>
      </w:r>
      <w:r>
        <w:rPr>
          <w:vertAlign w:val="baseline"/>
        </w:rPr>
        <w:t>enfermedad</w:t>
      </w:r>
      <w:r>
        <w:rPr>
          <w:spacing w:val="-17"/>
          <w:vertAlign w:val="baseline"/>
        </w:rPr>
        <w:t> </w:t>
      </w:r>
      <w:r>
        <w:rPr>
          <w:vertAlign w:val="baseline"/>
        </w:rPr>
        <w:t>al</w:t>
      </w:r>
      <w:r>
        <w:rPr>
          <w:spacing w:val="-14"/>
          <w:vertAlign w:val="baseline"/>
        </w:rPr>
        <w:t> </w:t>
      </w:r>
      <w:r>
        <w:rPr>
          <w:vertAlign w:val="baseline"/>
        </w:rPr>
        <w:t>año</w:t>
      </w:r>
      <w:r>
        <w:rPr>
          <w:spacing w:val="-12"/>
          <w:vertAlign w:val="baseline"/>
        </w:rPr>
        <w:t> </w:t>
      </w:r>
      <w:r>
        <w:rPr>
          <w:vertAlign w:val="baseline"/>
        </w:rPr>
        <w:t>es</w:t>
      </w:r>
      <w:r>
        <w:rPr>
          <w:spacing w:val="-14"/>
          <w:vertAlign w:val="baseline"/>
        </w:rPr>
        <w:t> </w:t>
      </w:r>
      <w:r>
        <w:rPr>
          <w:vertAlign w:val="baseline"/>
        </w:rPr>
        <w:t>mayor</w:t>
      </w:r>
      <w:r>
        <w:rPr>
          <w:spacing w:val="-15"/>
          <w:vertAlign w:val="baseline"/>
        </w:rPr>
        <w:t> </w:t>
      </w:r>
      <w:r>
        <w:rPr>
          <w:vertAlign w:val="baseline"/>
        </w:rPr>
        <w:t>en</w:t>
      </w:r>
      <w:r>
        <w:rPr>
          <w:spacing w:val="-17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15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-17"/>
          <w:vertAlign w:val="baseline"/>
        </w:rPr>
        <w:t> </w:t>
      </w:r>
      <w:r>
        <w:rPr>
          <w:vertAlign w:val="baseline"/>
        </w:rPr>
        <w:t>FOSCAL</w:t>
      </w:r>
      <w:r>
        <w:rPr>
          <w:spacing w:val="-57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periodo de</w:t>
      </w:r>
      <w:r>
        <w:rPr>
          <w:spacing w:val="1"/>
          <w:vertAlign w:val="baseline"/>
        </w:rPr>
        <w:t> </w:t>
      </w:r>
      <w:r>
        <w:rPr>
          <w:vertAlign w:val="baseline"/>
        </w:rPr>
        <w:t>2013 - 2016 en</w:t>
      </w:r>
      <w:r>
        <w:rPr>
          <w:spacing w:val="-6"/>
          <w:vertAlign w:val="baseline"/>
        </w:rPr>
        <w:t> </w:t>
      </w:r>
      <w:r>
        <w:rPr>
          <w:vertAlign w:val="baseline"/>
        </w:rPr>
        <w:t>comparación a</w:t>
      </w:r>
      <w:r>
        <w:rPr>
          <w:spacing w:val="1"/>
          <w:vertAlign w:val="baseline"/>
        </w:rPr>
        <w:t> </w:t>
      </w:r>
      <w:r>
        <w:rPr>
          <w:vertAlign w:val="baseline"/>
        </w:rPr>
        <w:t>la presentada</w:t>
      </w:r>
      <w:r>
        <w:rPr>
          <w:spacing w:val="1"/>
          <w:vertAlign w:val="baseline"/>
        </w:rPr>
        <w:t> </w:t>
      </w:r>
      <w:r>
        <w:rPr>
          <w:vertAlign w:val="baseline"/>
        </w:rPr>
        <w:t>en el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periodo 2017-2020.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V</w:t>
      </w:r>
      <w:r>
        <w:rPr/>
        <w:t>ariables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3"/>
        <w:gridCol w:w="2197"/>
        <w:gridCol w:w="1961"/>
        <w:gridCol w:w="1443"/>
        <w:gridCol w:w="2074"/>
      </w:tblGrid>
      <w:tr>
        <w:trPr>
          <w:trHeight w:val="830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97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95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61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3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23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443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07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24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411" w:hRule="atLeast"/>
        </w:trPr>
        <w:tc>
          <w:tcPr>
            <w:tcW w:w="9568" w:type="dxa"/>
            <w:gridSpan w:val="5"/>
            <w:tcBorders>
              <w:top w:val="single" w:sz="18" w:space="0" w:color="808080"/>
              <w:bottom w:val="single" w:sz="18" w:space="0" w:color="808080"/>
            </w:tcBorders>
            <w:shd w:val="clear" w:color="auto" w:fill="D0CECE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SOCIODEMOGRÁFICAS</w:t>
            </w:r>
          </w:p>
        </w:tc>
      </w:tr>
      <w:tr>
        <w:trPr>
          <w:trHeight w:val="1242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Edad</w:t>
            </w:r>
          </w:p>
        </w:tc>
        <w:tc>
          <w:tcPr>
            <w:tcW w:w="2197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95" w:right="235"/>
              <w:rPr>
                <w:sz w:val="24"/>
              </w:rPr>
            </w:pPr>
            <w:r>
              <w:rPr>
                <w:sz w:val="24"/>
              </w:rPr>
              <w:t>Tiempo vivido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desde</w:t>
            </w:r>
          </w:p>
          <w:p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nacimiento</w:t>
            </w:r>
          </w:p>
        </w:tc>
        <w:tc>
          <w:tcPr>
            <w:tcW w:w="1961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23" w:right="251"/>
              <w:rPr>
                <w:sz w:val="24"/>
              </w:rPr>
            </w:pPr>
            <w:r>
              <w:rPr>
                <w:sz w:val="24"/>
              </w:rPr>
              <w:t>Años cumplidos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desde su</w:t>
            </w:r>
          </w:p>
          <w:p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z w:val="24"/>
              </w:rPr>
              <w:t>nacimiento</w:t>
            </w:r>
          </w:p>
        </w:tc>
        <w:tc>
          <w:tcPr>
            <w:tcW w:w="144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50" w:right="111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continua</w:t>
            </w:r>
          </w:p>
        </w:tc>
        <w:tc>
          <w:tcPr>
            <w:tcW w:w="207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24" w:right="903"/>
              <w:rPr>
                <w:sz w:val="24"/>
              </w:rPr>
            </w:pPr>
            <w:r>
              <w:rPr>
                <w:sz w:val="24"/>
              </w:rPr>
              <w:t>18 años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adelante</w:t>
            </w:r>
          </w:p>
        </w:tc>
      </w:tr>
      <w:tr>
        <w:trPr>
          <w:trHeight w:val="1655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Sexo</w:t>
            </w:r>
          </w:p>
        </w:tc>
        <w:tc>
          <w:tcPr>
            <w:tcW w:w="2197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2" w:lineRule="auto"/>
              <w:ind w:left="195" w:right="102"/>
              <w:rPr>
                <w:sz w:val="24"/>
              </w:rPr>
            </w:pPr>
            <w:r>
              <w:rPr>
                <w:sz w:val="24"/>
              </w:rPr>
              <w:t>Fenotipo sexual 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paciente</w:t>
            </w:r>
          </w:p>
        </w:tc>
        <w:tc>
          <w:tcPr>
            <w:tcW w:w="1961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/>
              <w:ind w:left="123" w:right="153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recolección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2"/>
              <w:ind w:left="123"/>
              <w:rPr>
                <w:sz w:val="24"/>
              </w:rPr>
            </w:pPr>
            <w:r>
              <w:rPr>
                <w:sz w:val="24"/>
              </w:rPr>
              <w:t>datos</w:t>
            </w:r>
          </w:p>
        </w:tc>
        <w:tc>
          <w:tcPr>
            <w:tcW w:w="144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2" w:lineRule="auto"/>
              <w:ind w:left="150" w:right="230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07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85" w:val="left" w:leader="none"/>
              </w:tabs>
              <w:spacing w:line="276" w:lineRule="exact" w:before="0" w:after="0"/>
              <w:ind w:left="48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Masculino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85" w:val="left" w:leader="none"/>
              </w:tabs>
              <w:spacing w:line="240" w:lineRule="auto" w:before="140" w:after="0"/>
              <w:ind w:left="48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Femenino</w:t>
            </w:r>
          </w:p>
        </w:tc>
      </w:tr>
      <w:tr>
        <w:trPr>
          <w:trHeight w:val="1519" w:hRule="atLeast"/>
        </w:trPr>
        <w:tc>
          <w:tcPr>
            <w:tcW w:w="1893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07" w:right="606"/>
              <w:rPr>
                <w:sz w:val="24"/>
              </w:rPr>
            </w:pPr>
            <w:r>
              <w:rPr>
                <w:sz w:val="24"/>
              </w:rPr>
              <w:t>Área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procedencia</w:t>
            </w:r>
          </w:p>
        </w:tc>
        <w:tc>
          <w:tcPr>
            <w:tcW w:w="2197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60" w:lineRule="auto" w:before="3"/>
              <w:ind w:left="195" w:right="207"/>
              <w:jc w:val="both"/>
              <w:rPr>
                <w:sz w:val="24"/>
              </w:rPr>
            </w:pPr>
            <w:r>
              <w:rPr>
                <w:sz w:val="24"/>
              </w:rPr>
              <w:t>División territorial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 la cual procede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paciente</w:t>
            </w:r>
          </w:p>
        </w:tc>
        <w:tc>
          <w:tcPr>
            <w:tcW w:w="1961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60" w:lineRule="auto" w:before="3"/>
              <w:ind w:left="123" w:right="153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recolección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z w:val="24"/>
              </w:rPr>
              <w:t>datos</w:t>
            </w:r>
          </w:p>
        </w:tc>
        <w:tc>
          <w:tcPr>
            <w:tcW w:w="1443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50" w:right="230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074" w:type="dxa"/>
            <w:tcBorders>
              <w:top w:val="single" w:sz="18" w:space="0" w:color="80808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85" w:val="left" w:leader="none"/>
              </w:tabs>
              <w:spacing w:line="240" w:lineRule="auto" w:before="3" w:after="0"/>
              <w:ind w:left="48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Urbano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85" w:val="left" w:leader="none"/>
              </w:tabs>
              <w:spacing w:line="240" w:lineRule="auto" w:before="136" w:after="0"/>
              <w:ind w:left="48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3"/>
        <w:gridCol w:w="2184"/>
        <w:gridCol w:w="1974"/>
        <w:gridCol w:w="1384"/>
        <w:gridCol w:w="2134"/>
      </w:tblGrid>
      <w:tr>
        <w:trPr>
          <w:trHeight w:val="831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8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95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7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36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38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13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83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2895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Escolaridad</w:t>
            </w:r>
          </w:p>
        </w:tc>
        <w:tc>
          <w:tcPr>
            <w:tcW w:w="218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/>
              <w:ind w:left="195" w:right="442"/>
              <w:rPr>
                <w:sz w:val="24"/>
              </w:rPr>
            </w:pPr>
            <w:r>
              <w:rPr>
                <w:sz w:val="24"/>
              </w:rPr>
              <w:t>Nivel educativo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alcanzado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estudio</w:t>
            </w:r>
          </w:p>
        </w:tc>
        <w:tc>
          <w:tcPr>
            <w:tcW w:w="197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/>
              <w:ind w:left="136" w:right="139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recolección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datos</w:t>
            </w:r>
          </w:p>
        </w:tc>
        <w:tc>
          <w:tcPr>
            <w:tcW w:w="138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/>
              <w:ind w:left="150" w:right="171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ordinal</w:t>
            </w:r>
          </w:p>
        </w:tc>
        <w:tc>
          <w:tcPr>
            <w:tcW w:w="213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65" w:val="left" w:leader="none"/>
              </w:tabs>
              <w:spacing w:line="275" w:lineRule="exact" w:before="0" w:after="0"/>
              <w:ind w:left="364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</w:tabs>
              <w:spacing w:line="240" w:lineRule="auto" w:before="136" w:after="0"/>
              <w:ind w:left="42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Secundaria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</w:tabs>
              <w:spacing w:line="240" w:lineRule="auto" w:before="140" w:after="0"/>
              <w:ind w:left="42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Pregrado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</w:tabs>
              <w:spacing w:line="240" w:lineRule="auto" w:before="136" w:after="0"/>
              <w:ind w:left="42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Posgrado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</w:tabs>
              <w:spacing w:line="240" w:lineRule="auto" w:before="140" w:after="0"/>
              <w:ind w:left="42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estudio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</w:tabs>
              <w:spacing w:line="240" w:lineRule="auto" w:before="136" w:after="0"/>
              <w:ind w:left="42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Técnico</w:t>
            </w:r>
          </w:p>
        </w:tc>
      </w:tr>
      <w:tr>
        <w:trPr>
          <w:trHeight w:val="2487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07" w:right="613"/>
              <w:rPr>
                <w:sz w:val="24"/>
              </w:rPr>
            </w:pPr>
            <w:r>
              <w:rPr>
                <w:sz w:val="24"/>
              </w:rPr>
              <w:t>Régimen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afiliación</w:t>
            </w:r>
          </w:p>
        </w:tc>
        <w:tc>
          <w:tcPr>
            <w:tcW w:w="218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 w:before="3"/>
              <w:ind w:left="195" w:right="116"/>
              <w:rPr>
                <w:sz w:val="24"/>
              </w:rPr>
            </w:pPr>
            <w:r>
              <w:rPr>
                <w:sz w:val="24"/>
              </w:rPr>
              <w:t>Tipo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aseguradora al cual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esta afiliado 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paciente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</w:p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197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 w:before="3"/>
              <w:ind w:left="136" w:right="139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recolección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datos</w:t>
            </w:r>
          </w:p>
        </w:tc>
        <w:tc>
          <w:tcPr>
            <w:tcW w:w="138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50" w:right="171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44" w:val="left" w:leader="none"/>
              </w:tabs>
              <w:spacing w:line="240" w:lineRule="auto" w:before="3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Subsidiado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44" w:val="left" w:leader="none"/>
              </w:tabs>
              <w:spacing w:line="240" w:lineRule="auto" w:before="136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Contributivo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44" w:val="left" w:leader="none"/>
              </w:tabs>
              <w:spacing w:line="240" w:lineRule="auto" w:before="140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Especial</w:t>
            </w:r>
          </w:p>
        </w:tc>
      </w:tr>
      <w:tr>
        <w:trPr>
          <w:trHeight w:val="3724" w:hRule="atLeast"/>
        </w:trPr>
        <w:tc>
          <w:tcPr>
            <w:tcW w:w="1893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Ocupación</w:t>
            </w:r>
          </w:p>
        </w:tc>
        <w:tc>
          <w:tcPr>
            <w:tcW w:w="218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/>
              <w:ind w:left="195" w:right="222"/>
              <w:rPr>
                <w:sz w:val="24"/>
              </w:rPr>
            </w:pPr>
            <w:r>
              <w:rPr>
                <w:sz w:val="24"/>
              </w:rPr>
              <w:t>Actividad u oficio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 el cual 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desempeña 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remuneración</w:t>
            </w:r>
          </w:p>
        </w:tc>
        <w:tc>
          <w:tcPr>
            <w:tcW w:w="197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60" w:lineRule="auto"/>
              <w:ind w:left="136" w:right="139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recolección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datos</w:t>
            </w:r>
          </w:p>
        </w:tc>
        <w:tc>
          <w:tcPr>
            <w:tcW w:w="138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spacing w:line="357" w:lineRule="auto"/>
              <w:ind w:left="150" w:right="171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4" w:type="dxa"/>
            <w:tcBorders>
              <w:top w:val="single" w:sz="18" w:space="0" w:color="808080"/>
              <w:bottom w:val="single" w:sz="18" w:space="0" w:color="80808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44" w:val="left" w:leader="none"/>
              </w:tabs>
              <w:spacing w:line="357" w:lineRule="auto" w:before="0" w:after="0"/>
              <w:ind w:left="543" w:right="533" w:hanging="360"/>
              <w:jc w:val="left"/>
              <w:rPr>
                <w:sz w:val="24"/>
              </w:rPr>
            </w:pPr>
            <w:r>
              <w:rPr>
                <w:sz w:val="24"/>
              </w:rPr>
              <w:t>Trabajador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asalariado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44" w:val="left" w:leader="none"/>
              </w:tabs>
              <w:spacing w:line="357" w:lineRule="auto" w:before="5" w:after="0"/>
              <w:ind w:left="543" w:right="239" w:hanging="360"/>
              <w:jc w:val="left"/>
              <w:rPr>
                <w:sz w:val="24"/>
              </w:rPr>
            </w:pPr>
            <w:r>
              <w:rPr>
                <w:sz w:val="24"/>
              </w:rPr>
              <w:t>Trabajador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independiente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44" w:val="left" w:leader="none"/>
              </w:tabs>
              <w:spacing w:line="240" w:lineRule="auto" w:before="6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Hogar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44" w:val="left" w:leader="none"/>
              </w:tabs>
              <w:spacing w:line="240" w:lineRule="auto" w:before="136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Estudiante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44" w:val="left" w:leader="none"/>
              </w:tabs>
              <w:spacing w:line="240" w:lineRule="auto" w:before="140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Cesante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44" w:val="left" w:leader="none"/>
              </w:tabs>
              <w:spacing w:line="240" w:lineRule="auto" w:before="136" w:after="0"/>
              <w:ind w:left="5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Pensionado</w:t>
            </w:r>
          </w:p>
        </w:tc>
      </w:tr>
      <w:tr>
        <w:trPr>
          <w:trHeight w:val="1519" w:hRule="atLeast"/>
        </w:trPr>
        <w:tc>
          <w:tcPr>
            <w:tcW w:w="1893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07" w:right="579"/>
              <w:rPr>
                <w:sz w:val="24"/>
              </w:rPr>
            </w:pPr>
            <w:r>
              <w:rPr>
                <w:sz w:val="24"/>
              </w:rPr>
              <w:t>Diagnostico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institucional</w:t>
            </w:r>
          </w:p>
        </w:tc>
        <w:tc>
          <w:tcPr>
            <w:tcW w:w="2184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60" w:lineRule="auto" w:before="3"/>
              <w:ind w:left="195" w:right="565"/>
              <w:jc w:val="both"/>
              <w:rPr>
                <w:sz w:val="24"/>
              </w:rPr>
            </w:pPr>
            <w:r>
              <w:rPr>
                <w:sz w:val="24"/>
              </w:rPr>
              <w:t>Realización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diagnostico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manera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intra o</w:t>
            </w:r>
          </w:p>
          <w:p>
            <w:pPr>
              <w:pStyle w:val="TableParagraph"/>
              <w:spacing w:line="254" w:lineRule="exact"/>
              <w:ind w:left="195"/>
              <w:rPr>
                <w:sz w:val="24"/>
              </w:rPr>
            </w:pPr>
            <w:r>
              <w:rPr>
                <w:sz w:val="24"/>
              </w:rPr>
              <w:t>extrainstitucional</w:t>
            </w:r>
          </w:p>
        </w:tc>
        <w:tc>
          <w:tcPr>
            <w:tcW w:w="1974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60" w:lineRule="auto" w:before="3"/>
              <w:ind w:left="136" w:right="153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recolección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54" w:lineRule="exact"/>
              <w:ind w:left="136"/>
              <w:rPr>
                <w:sz w:val="24"/>
              </w:rPr>
            </w:pPr>
            <w:r>
              <w:rPr>
                <w:sz w:val="24"/>
              </w:rPr>
              <w:t>datos</w:t>
            </w:r>
          </w:p>
        </w:tc>
        <w:tc>
          <w:tcPr>
            <w:tcW w:w="1384" w:type="dxa"/>
            <w:tcBorders>
              <w:top w:val="single" w:sz="18" w:space="0" w:color="808080"/>
            </w:tcBorders>
          </w:tcPr>
          <w:p>
            <w:pPr>
              <w:pStyle w:val="TableParagraph"/>
              <w:spacing w:line="357" w:lineRule="auto" w:before="3"/>
              <w:ind w:left="150" w:right="171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4" w:type="dxa"/>
            <w:tcBorders>
              <w:top w:val="single" w:sz="18" w:space="0" w:color="80808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904" w:val="left" w:leader="none"/>
              </w:tabs>
              <w:spacing w:line="240" w:lineRule="auto" w:before="3" w:after="0"/>
              <w:ind w:left="90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904" w:val="left" w:leader="none"/>
              </w:tabs>
              <w:spacing w:line="240" w:lineRule="auto" w:before="136" w:after="0"/>
              <w:ind w:left="90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2170"/>
        <w:gridCol w:w="1990"/>
        <w:gridCol w:w="1409"/>
        <w:gridCol w:w="2075"/>
      </w:tblGrid>
      <w:tr>
        <w:trPr>
          <w:trHeight w:val="831" w:hRule="atLeast"/>
        </w:trPr>
        <w:tc>
          <w:tcPr>
            <w:tcW w:w="1940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70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60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60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90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409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07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21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411" w:hRule="atLeast"/>
        </w:trPr>
        <w:tc>
          <w:tcPr>
            <w:tcW w:w="1940" w:type="dxa"/>
            <w:tcBorders>
              <w:top w:val="single" w:sz="18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0" w:type="dxa"/>
            <w:tcBorders>
              <w:top w:val="single" w:sz="18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0" w:type="dxa"/>
            <w:tcBorders>
              <w:top w:val="single" w:sz="18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9" w:type="dxa"/>
            <w:tcBorders>
              <w:top w:val="single" w:sz="18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5" w:type="dxa"/>
            <w:tcBorders>
              <w:top w:val="single" w:sz="18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9584" w:type="dxa"/>
            <w:gridSpan w:val="5"/>
            <w:shd w:val="clear" w:color="auto" w:fill="D0CECE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CLÍNICAS</w:t>
            </w:r>
          </w:p>
        </w:tc>
      </w:tr>
      <w:tr>
        <w:trPr>
          <w:trHeight w:val="2483" w:hRule="atLeast"/>
        </w:trPr>
        <w:tc>
          <w:tcPr>
            <w:tcW w:w="1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120" w:right="693"/>
              <w:rPr>
                <w:sz w:val="24"/>
              </w:rPr>
            </w:pPr>
            <w:r>
              <w:rPr>
                <w:sz w:val="24"/>
              </w:rPr>
              <w:t>Edad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60" w:right="246"/>
              <w:jc w:val="both"/>
              <w:rPr>
                <w:sz w:val="24"/>
              </w:rPr>
            </w:pPr>
            <w:r>
              <w:rPr>
                <w:sz w:val="24"/>
              </w:rPr>
              <w:t>Tiempo vivido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una persona desde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nacimiento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226"/>
              <w:rPr>
                <w:sz w:val="24"/>
              </w:rPr>
            </w:pPr>
            <w:r>
              <w:rPr>
                <w:sz w:val="24"/>
              </w:rPr>
              <w:t>Años cumplidos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fecha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nacimiento a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113" w:right="114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continua</w:t>
            </w: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 o más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años</w:t>
            </w:r>
          </w:p>
        </w:tc>
      </w:tr>
      <w:tr>
        <w:trPr>
          <w:trHeight w:val="2482" w:hRule="atLeast"/>
        </w:trPr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20" w:right="693"/>
              <w:rPr>
                <w:sz w:val="24"/>
              </w:rPr>
            </w:pPr>
            <w:r>
              <w:rPr>
                <w:sz w:val="24"/>
              </w:rPr>
              <w:t>ECOG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60" w:right="97"/>
              <w:rPr>
                <w:sz w:val="24"/>
              </w:rPr>
            </w:pPr>
            <w:r>
              <w:rPr>
                <w:sz w:val="24"/>
              </w:rPr>
              <w:t>Escala que describe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el nivel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funcionalidad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paciente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</w:p>
          <w:p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304"/>
              <w:rPr>
                <w:sz w:val="24"/>
              </w:rPr>
            </w:pPr>
            <w:r>
              <w:rPr>
                <w:sz w:val="24"/>
              </w:rPr>
              <w:t>Funcionalidad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medida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 la escala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3" w:right="233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1.   0</w:t>
            </w:r>
          </w:p>
          <w:p>
            <w:pPr>
              <w:pStyle w:val="TableParagraph"/>
              <w:spacing w:before="140"/>
              <w:ind w:left="121"/>
              <w:rPr>
                <w:sz w:val="24"/>
              </w:rPr>
            </w:pPr>
            <w:r>
              <w:rPr>
                <w:sz w:val="24"/>
              </w:rPr>
              <w:t>2.   1</w:t>
            </w:r>
          </w:p>
          <w:p>
            <w:pPr>
              <w:pStyle w:val="TableParagraph"/>
              <w:spacing w:before="136"/>
              <w:ind w:left="121"/>
              <w:rPr>
                <w:sz w:val="24"/>
              </w:rPr>
            </w:pPr>
            <w:r>
              <w:rPr>
                <w:sz w:val="24"/>
              </w:rPr>
              <w:t>3.   2</w:t>
            </w:r>
          </w:p>
          <w:p>
            <w:pPr>
              <w:pStyle w:val="TableParagraph"/>
              <w:spacing w:before="140"/>
              <w:ind w:left="121"/>
              <w:rPr>
                <w:sz w:val="24"/>
              </w:rPr>
            </w:pPr>
            <w:r>
              <w:rPr>
                <w:sz w:val="24"/>
              </w:rPr>
              <w:t>4.   3</w:t>
            </w:r>
          </w:p>
          <w:p>
            <w:pPr>
              <w:pStyle w:val="TableParagraph"/>
              <w:spacing w:before="136"/>
              <w:ind w:left="121"/>
              <w:rPr>
                <w:sz w:val="24"/>
              </w:rPr>
            </w:pPr>
            <w:r>
              <w:rPr>
                <w:sz w:val="24"/>
              </w:rPr>
              <w:t>5.   4</w:t>
            </w:r>
          </w:p>
        </w:tc>
      </w:tr>
      <w:tr>
        <w:trPr>
          <w:trHeight w:val="2898" w:hRule="atLeast"/>
        </w:trPr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IMC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60" w:right="382"/>
              <w:jc w:val="both"/>
              <w:rPr>
                <w:sz w:val="24"/>
              </w:rPr>
            </w:pPr>
            <w:r>
              <w:rPr>
                <w:sz w:val="24"/>
              </w:rPr>
              <w:t>Cociente entre el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peso y la talla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cuadrado.</w:t>
            </w:r>
          </w:p>
        </w:tc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15" w:right="462"/>
              <w:rPr>
                <w:sz w:val="24"/>
              </w:rPr>
            </w:pPr>
            <w:r>
              <w:rPr>
                <w:sz w:val="24"/>
              </w:rPr>
              <w:t>Relación entre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peso y talla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utilizado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clasificar 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sobrepeso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obesidad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13" w:right="233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82" w:val="left" w:leader="none"/>
              </w:tabs>
              <w:spacing w:line="240" w:lineRule="auto" w:before="3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bajo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2" w:val="left" w:leader="none"/>
              </w:tabs>
              <w:spacing w:line="240" w:lineRule="auto" w:before="136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2" w:val="left" w:leader="none"/>
              </w:tabs>
              <w:spacing w:line="240" w:lineRule="auto" w:before="140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Sobrepeso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2" w:val="left" w:leader="none"/>
              </w:tabs>
              <w:spacing w:line="240" w:lineRule="auto" w:before="136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Obesidad</w:t>
            </w:r>
          </w:p>
        </w:tc>
      </w:tr>
      <w:tr>
        <w:trPr>
          <w:trHeight w:val="3315" w:hRule="atLeast"/>
        </w:trPr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20" w:right="140"/>
              <w:rPr>
                <w:sz w:val="24"/>
              </w:rPr>
            </w:pPr>
            <w:r>
              <w:rPr>
                <w:sz w:val="24"/>
              </w:rPr>
              <w:t>Víscero megalias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60" w:right="97"/>
              <w:rPr>
                <w:sz w:val="24"/>
              </w:rPr>
            </w:pPr>
            <w:r>
              <w:rPr>
                <w:sz w:val="24"/>
              </w:rPr>
              <w:t>Aumento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volumen hepático 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esplénico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15" w:right="112"/>
              <w:rPr>
                <w:sz w:val="24"/>
              </w:rPr>
            </w:pPr>
            <w:r>
              <w:rPr>
                <w:sz w:val="24"/>
              </w:rPr>
              <w:t>Presencia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hepatomegalia,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esplenomegalia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 combinación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ambas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13" w:right="233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240" w:lineRule="auto" w:before="3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Hepatomegalia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362" w:lineRule="auto" w:before="136" w:after="0"/>
              <w:ind w:left="481" w:right="164" w:hanging="360"/>
              <w:jc w:val="left"/>
              <w:rPr>
                <w:sz w:val="24"/>
              </w:rPr>
            </w:pPr>
            <w:r>
              <w:rPr>
                <w:sz w:val="24"/>
              </w:rPr>
              <w:t>Esplenomegali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271" w:lineRule="exact" w:before="0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Hepato-</w:t>
            </w:r>
          </w:p>
          <w:p>
            <w:pPr>
              <w:pStyle w:val="TableParagraph"/>
              <w:spacing w:before="140"/>
              <w:ind w:left="481"/>
              <w:rPr>
                <w:sz w:val="24"/>
              </w:rPr>
            </w:pPr>
            <w:r>
              <w:rPr>
                <w:sz w:val="24"/>
              </w:rPr>
              <w:t>espleno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240" w:lineRule="auto" w:before="136" w:after="0"/>
              <w:ind w:left="48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line="410" w:lineRule="atLeast" w:before="7"/>
              <w:ind w:left="481" w:right="135"/>
              <w:rPr>
                <w:sz w:val="24"/>
              </w:rPr>
            </w:pPr>
            <w:r>
              <w:rPr>
                <w:spacing w:val="-1"/>
                <w:sz w:val="24"/>
              </w:rPr>
              <w:t>visceromegalia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2134"/>
        <w:gridCol w:w="1987"/>
        <w:gridCol w:w="1349"/>
        <w:gridCol w:w="2135"/>
      </w:tblGrid>
      <w:tr>
        <w:trPr>
          <w:trHeight w:val="831" w:hRule="atLeast"/>
        </w:trPr>
        <w:tc>
          <w:tcPr>
            <w:tcW w:w="1969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3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19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87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349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13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79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79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378" w:hRule="atLeast"/>
        </w:trPr>
        <w:tc>
          <w:tcPr>
            <w:tcW w:w="1969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7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9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0" w:hRule="atLeast"/>
        </w:trPr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Categorización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riesgo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9" w:right="109"/>
              <w:rPr>
                <w:sz w:val="24"/>
              </w:rPr>
            </w:pPr>
            <w:r>
              <w:rPr>
                <w:sz w:val="24"/>
              </w:rPr>
              <w:t>Clasificación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riesgo del riesgo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recaída, de acuerdo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variables clínicas,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citogenéticas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inmunofenotípicas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Categorización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 riesgo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paciente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1" w:right="175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540" w:val="left" w:leader="none"/>
              </w:tabs>
              <w:spacing w:line="275" w:lineRule="exact" w:before="0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Alto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riesgo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40" w:val="left" w:leader="none"/>
              </w:tabs>
              <w:spacing w:line="240" w:lineRule="auto" w:before="140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Riesgo</w:t>
            </w:r>
          </w:p>
          <w:p>
            <w:pPr>
              <w:pStyle w:val="TableParagraph"/>
              <w:spacing w:before="136"/>
              <w:ind w:left="539"/>
              <w:rPr>
                <w:sz w:val="24"/>
              </w:rPr>
            </w:pPr>
            <w:r>
              <w:rPr>
                <w:sz w:val="24"/>
              </w:rPr>
              <w:t>estándar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40" w:val="left" w:leader="none"/>
              </w:tabs>
              <w:spacing w:line="357" w:lineRule="auto" w:before="140" w:after="0"/>
              <w:ind w:left="539" w:right="567" w:hanging="360"/>
              <w:jc w:val="left"/>
              <w:rPr>
                <w:sz w:val="24"/>
              </w:rPr>
            </w:pPr>
            <w:r>
              <w:rPr>
                <w:sz w:val="24"/>
              </w:rPr>
              <w:t>BCR/ABL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positivo</w:t>
            </w:r>
          </w:p>
        </w:tc>
      </w:tr>
      <w:tr>
        <w:trPr>
          <w:trHeight w:val="761" w:hRule="atLeast"/>
        </w:trPr>
        <w:tc>
          <w:tcPr>
            <w:tcW w:w="196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19" w:right="127"/>
              <w:rPr>
                <w:sz w:val="24"/>
              </w:rPr>
            </w:pP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Franco-Americana-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británica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10" w:right="304"/>
              <w:rPr>
                <w:sz w:val="24"/>
              </w:rPr>
            </w:pPr>
            <w:r>
              <w:rPr>
                <w:sz w:val="24"/>
              </w:rPr>
              <w:t>Clasificación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LLA según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características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histológicas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Cualitativa</w:t>
            </w:r>
          </w:p>
          <w:p>
            <w:pPr>
              <w:pStyle w:val="TableParagraph"/>
              <w:spacing w:before="136"/>
              <w:ind w:left="111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40" w:val="left" w:leader="none"/>
              </w:tabs>
              <w:spacing w:line="240" w:lineRule="auto" w:before="3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0" w:val="left" w:leader="none"/>
              </w:tabs>
              <w:spacing w:line="240" w:lineRule="auto" w:before="136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0" w:val="left" w:leader="none"/>
              </w:tabs>
              <w:spacing w:line="240" w:lineRule="auto" w:before="140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LALA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887" w:hRule="atLeast"/>
        </w:trPr>
        <w:tc>
          <w:tcPr>
            <w:tcW w:w="1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Clasificación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FAB</w:t>
            </w:r>
          </w:p>
        </w:tc>
        <w:tc>
          <w:tcPr>
            <w:tcW w:w="213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0" w:hRule="atLeast"/>
        </w:trPr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07" w:right="295"/>
              <w:rPr>
                <w:sz w:val="24"/>
              </w:rPr>
            </w:pPr>
            <w:r>
              <w:rPr>
                <w:sz w:val="24"/>
              </w:rPr>
              <w:t>Inmunofenotipo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LLA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9" w:right="195"/>
              <w:rPr>
                <w:sz w:val="24"/>
              </w:rPr>
            </w:pPr>
            <w:r>
              <w:rPr>
                <w:sz w:val="24"/>
              </w:rPr>
              <w:t>Clasificación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 según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marcadores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inmunofenotípicos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 las células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blásticas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Clasificación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 brindada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citometría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flujo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inmunohistoquími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médula</w:t>
            </w: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ósea.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1" w:right="175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540" w:val="left" w:leader="none"/>
              </w:tabs>
              <w:spacing w:line="275" w:lineRule="exact" w:before="0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 común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0" w:val="left" w:leader="none"/>
              </w:tabs>
              <w:spacing w:line="240" w:lineRule="auto" w:before="140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0" w:val="left" w:leader="none"/>
              </w:tabs>
              <w:spacing w:line="240" w:lineRule="auto" w:before="136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0" w:val="left" w:leader="none"/>
              </w:tabs>
              <w:spacing w:line="240" w:lineRule="auto" w:before="140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40" w:val="left" w:leader="none"/>
              </w:tabs>
              <w:spacing w:line="240" w:lineRule="auto" w:before="136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</w:t>
            </w:r>
          </w:p>
        </w:tc>
      </w:tr>
      <w:tr>
        <w:trPr>
          <w:trHeight w:val="2759" w:hRule="atLeast"/>
        </w:trPr>
        <w:tc>
          <w:tcPr>
            <w:tcW w:w="1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left="107" w:right="635"/>
              <w:rPr>
                <w:sz w:val="24"/>
              </w:rPr>
            </w:pPr>
            <w:r>
              <w:rPr>
                <w:sz w:val="24"/>
              </w:rPr>
              <w:t>Presencia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BCR/ABL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left="119" w:right="95"/>
              <w:rPr>
                <w:sz w:val="24"/>
              </w:rPr>
            </w:pPr>
            <w:r>
              <w:rPr>
                <w:sz w:val="24"/>
              </w:rPr>
              <w:t>Proteína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 se genera como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resultado de la 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(9;22) y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 cambios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vías</w:t>
            </w:r>
          </w:p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de apoptosis</w:t>
            </w:r>
          </w:p>
        </w:tc>
        <w:tc>
          <w:tcPr>
            <w:tcW w:w="1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left="110" w:right="124"/>
              <w:rPr>
                <w:sz w:val="24"/>
              </w:rPr>
            </w:pPr>
            <w:r>
              <w:rPr>
                <w:sz w:val="24"/>
              </w:rPr>
              <w:t>Detección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proteína de fusión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BCR/ABL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PCR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left="111" w:right="175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ordinal</w:t>
            </w:r>
          </w:p>
        </w:tc>
        <w:tc>
          <w:tcPr>
            <w:tcW w:w="2135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40" w:val="left" w:leader="none"/>
              </w:tabs>
              <w:spacing w:line="240" w:lineRule="auto" w:before="2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Negativo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40" w:val="left" w:leader="none"/>
              </w:tabs>
              <w:spacing w:line="240" w:lineRule="auto" w:before="137" w:after="0"/>
              <w:ind w:left="53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Positivo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5"/>
        <w:gridCol w:w="2174"/>
        <w:gridCol w:w="1991"/>
        <w:gridCol w:w="1378"/>
        <w:gridCol w:w="2135"/>
      </w:tblGrid>
      <w:tr>
        <w:trPr>
          <w:trHeight w:val="826" w:hRule="atLeast"/>
        </w:trPr>
        <w:tc>
          <w:tcPr>
            <w:tcW w:w="190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7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95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91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46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46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378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13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82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82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2038" w:hRule="atLeast"/>
        </w:trPr>
        <w:tc>
          <w:tcPr>
            <w:tcW w:w="190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Cariotipo</w:t>
            </w:r>
          </w:p>
        </w:tc>
        <w:tc>
          <w:tcPr>
            <w:tcW w:w="217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95"/>
              <w:rPr>
                <w:sz w:val="24"/>
              </w:rPr>
            </w:pPr>
            <w:r>
              <w:rPr>
                <w:sz w:val="24"/>
              </w:rPr>
              <w:t>Exámen</w:t>
            </w:r>
          </w:p>
          <w:p>
            <w:pPr>
              <w:pStyle w:val="TableParagraph"/>
              <w:spacing w:line="360" w:lineRule="auto" w:before="140"/>
              <w:ind w:left="195" w:right="141"/>
              <w:rPr>
                <w:sz w:val="24"/>
              </w:rPr>
            </w:pPr>
            <w:r>
              <w:rPr>
                <w:sz w:val="24"/>
              </w:rPr>
              <w:t>paraclínico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evalúa el tamaño,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4" w:lineRule="exact"/>
              <w:ind w:left="195"/>
              <w:rPr>
                <w:sz w:val="24"/>
              </w:rPr>
            </w:pPr>
            <w:r>
              <w:rPr>
                <w:sz w:val="24"/>
              </w:rPr>
              <w:t>cromosomas.</w:t>
            </w:r>
          </w:p>
        </w:tc>
        <w:tc>
          <w:tcPr>
            <w:tcW w:w="1991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46"/>
              <w:rPr>
                <w:sz w:val="24"/>
              </w:rPr>
            </w:pPr>
            <w:r>
              <w:rPr>
                <w:sz w:val="24"/>
              </w:rPr>
              <w:t>Cariotipo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</w:p>
          <w:p>
            <w:pPr>
              <w:pStyle w:val="TableParagraph"/>
              <w:spacing w:line="360" w:lineRule="auto" w:before="140"/>
              <w:ind w:left="146" w:right="233"/>
              <w:rPr>
                <w:sz w:val="24"/>
              </w:rPr>
            </w:pPr>
            <w:r>
              <w:rPr>
                <w:sz w:val="24"/>
              </w:rPr>
              <w:t>médula ósea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sangre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periférica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tomado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  <w:tc>
          <w:tcPr>
            <w:tcW w:w="1378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43"/>
              <w:rPr>
                <w:sz w:val="24"/>
              </w:rPr>
            </w:pPr>
            <w:r>
              <w:rPr>
                <w:sz w:val="24"/>
              </w:rPr>
              <w:t>Cualitativa</w:t>
            </w:r>
          </w:p>
          <w:p>
            <w:pPr>
              <w:pStyle w:val="TableParagraph"/>
              <w:spacing w:before="140"/>
              <w:ind w:left="143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213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43" w:val="left" w:leader="none"/>
              </w:tabs>
              <w:spacing w:line="239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43" w:val="left" w:leader="none"/>
              </w:tabs>
              <w:spacing w:line="240" w:lineRule="auto" w:before="14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Alterado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43" w:val="left" w:leader="none"/>
              </w:tabs>
              <w:spacing w:line="362" w:lineRule="auto" w:before="136" w:after="0"/>
              <w:ind w:left="542" w:right="456" w:hanging="360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crecimiento</w:t>
            </w:r>
          </w:p>
        </w:tc>
      </w:tr>
      <w:tr>
        <w:trPr>
          <w:trHeight w:val="5113" w:hRule="atLeast"/>
        </w:trPr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20" w:right="432"/>
              <w:rPr>
                <w:sz w:val="24"/>
              </w:rPr>
            </w:pPr>
            <w:r>
              <w:rPr>
                <w:sz w:val="24"/>
              </w:rPr>
              <w:t>Protocolo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quimioterapia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recibido</w:t>
            </w:r>
          </w:p>
        </w:tc>
        <w:tc>
          <w:tcPr>
            <w:tcW w:w="2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95" w:right="212"/>
              <w:rPr>
                <w:sz w:val="24"/>
              </w:rPr>
            </w:pPr>
            <w:r>
              <w:rPr>
                <w:sz w:val="24"/>
              </w:rPr>
              <w:t>Tratamiento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quimioterapéutico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instaurado</w:t>
            </w:r>
          </w:p>
        </w:tc>
        <w:tc>
          <w:tcPr>
            <w:tcW w:w="1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46" w:right="125"/>
              <w:rPr>
                <w:sz w:val="24"/>
              </w:rPr>
            </w:pPr>
            <w:r>
              <w:rPr>
                <w:sz w:val="24"/>
              </w:rPr>
              <w:t>Esquema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quimioterapia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recibido posterior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43" w:right="172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5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75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Pethema AR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4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Pethema RI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36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Pethema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PH+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4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PethemaOldPh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36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PethemaOldpH</w:t>
            </w:r>
          </w:p>
          <w:p>
            <w:pPr>
              <w:pStyle w:val="TableParagraph"/>
              <w:spacing w:before="140"/>
              <w:ind w:left="54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36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Hyper-CVAD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41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GMALL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36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tratamiento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4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BFM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36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Paliativo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43" w:val="left" w:leader="none"/>
              </w:tabs>
              <w:spacing w:line="240" w:lineRule="auto" w:before="14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Otros</w:t>
            </w:r>
          </w:p>
        </w:tc>
      </w:tr>
      <w:tr>
        <w:trPr>
          <w:trHeight w:val="4823" w:hRule="atLeast"/>
        </w:trPr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Comorbilidades</w:t>
            </w:r>
          </w:p>
        </w:tc>
        <w:tc>
          <w:tcPr>
            <w:tcW w:w="2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95" w:right="246"/>
              <w:rPr>
                <w:sz w:val="24"/>
              </w:rPr>
            </w:pPr>
            <w:r>
              <w:rPr>
                <w:sz w:val="24"/>
              </w:rPr>
              <w:t>Otras patologías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acompañantes 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paciente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46" w:right="291"/>
              <w:rPr>
                <w:sz w:val="24"/>
              </w:rPr>
            </w:pPr>
            <w:r>
              <w:rPr>
                <w:sz w:val="24"/>
              </w:rPr>
              <w:t>Comorbilidades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presentes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57" w:lineRule="auto"/>
              <w:ind w:left="143" w:right="172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43" w:val="left" w:leader="none"/>
              </w:tabs>
              <w:spacing w:line="357" w:lineRule="auto" w:before="0" w:after="0"/>
              <w:ind w:left="542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Enfermedades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cardiacas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43" w:val="left" w:leader="none"/>
              </w:tabs>
              <w:spacing w:line="357" w:lineRule="auto" w:before="6" w:after="0"/>
              <w:ind w:left="542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Enfermedades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renales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43" w:val="left" w:leader="none"/>
              </w:tabs>
              <w:spacing w:line="357" w:lineRule="auto" w:before="6" w:after="0"/>
              <w:ind w:left="542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Enfermedades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pulmonares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43" w:val="left" w:leader="none"/>
              </w:tabs>
              <w:spacing w:line="360" w:lineRule="auto" w:before="6" w:after="0"/>
              <w:ind w:left="542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Enfermedades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endocrino-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metabólicas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43" w:val="left" w:leader="none"/>
              </w:tabs>
              <w:spacing w:line="274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Enfermedades</w:t>
            </w:r>
          </w:p>
          <w:p>
            <w:pPr>
              <w:pStyle w:val="TableParagraph"/>
              <w:spacing w:before="136"/>
              <w:ind w:left="542"/>
              <w:rPr>
                <w:sz w:val="24"/>
              </w:rPr>
            </w:pPr>
            <w:r>
              <w:rPr>
                <w:sz w:val="24"/>
              </w:rPr>
              <w:t>infecciosas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5"/>
        <w:gridCol w:w="2144"/>
        <w:gridCol w:w="2052"/>
        <w:gridCol w:w="1406"/>
        <w:gridCol w:w="2074"/>
      </w:tblGrid>
      <w:tr>
        <w:trPr>
          <w:trHeight w:val="819" w:hRule="atLeast"/>
        </w:trPr>
        <w:tc>
          <w:tcPr>
            <w:tcW w:w="190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4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95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2052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76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76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406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07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3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23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4519" w:hRule="atLeast"/>
        </w:trPr>
        <w:tc>
          <w:tcPr>
            <w:tcW w:w="190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2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6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0" w:val="left" w:leader="none"/>
              </w:tabs>
              <w:spacing w:line="231" w:lineRule="exact" w:before="0" w:after="0"/>
              <w:ind w:left="483" w:right="212" w:hanging="484"/>
              <w:jc w:val="right"/>
              <w:rPr>
                <w:sz w:val="24"/>
              </w:rPr>
            </w:pPr>
            <w:r>
              <w:rPr>
                <w:sz w:val="24"/>
              </w:rPr>
              <w:t>Enfermedades</w:t>
            </w:r>
          </w:p>
          <w:p>
            <w:pPr>
              <w:pStyle w:val="TableParagraph"/>
              <w:spacing w:before="136"/>
              <w:ind w:left="0" w:right="121"/>
              <w:jc w:val="right"/>
              <w:rPr>
                <w:sz w:val="24"/>
              </w:rPr>
            </w:pPr>
            <w:r>
              <w:rPr>
                <w:sz w:val="24"/>
              </w:rPr>
              <w:t>reumatológicas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84" w:val="left" w:leader="none"/>
              </w:tabs>
              <w:spacing w:line="357" w:lineRule="auto" w:before="140" w:after="0"/>
              <w:ind w:left="483" w:right="360" w:hanging="360"/>
              <w:jc w:val="left"/>
              <w:rPr>
                <w:sz w:val="24"/>
              </w:rPr>
            </w:pPr>
            <w:r>
              <w:rPr>
                <w:sz w:val="24"/>
              </w:rPr>
              <w:t>Trastornos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psiquiátricos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84" w:val="left" w:leader="none"/>
              </w:tabs>
              <w:spacing w:line="360" w:lineRule="auto" w:before="6" w:after="0"/>
              <w:ind w:left="483" w:right="492" w:hanging="360"/>
              <w:jc w:val="left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plaguicidas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84" w:val="left" w:leader="none"/>
              </w:tabs>
              <w:spacing w:line="360" w:lineRule="auto" w:before="0" w:after="0"/>
              <w:ind w:left="483" w:right="285" w:hanging="360"/>
              <w:jc w:val="left"/>
              <w:rPr>
                <w:sz w:val="24"/>
              </w:rPr>
            </w:pPr>
            <w:r>
              <w:rPr>
                <w:sz w:val="24"/>
              </w:rPr>
              <w:t>Tumor sólido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previamente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84" w:val="left" w:leader="none"/>
              </w:tabs>
              <w:spacing w:line="240" w:lineRule="auto" w:before="0" w:after="0"/>
              <w:ind w:left="48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Otras</w:t>
            </w:r>
          </w:p>
        </w:tc>
      </w:tr>
      <w:tr>
        <w:trPr>
          <w:trHeight w:val="2486" w:hRule="atLeast"/>
        </w:trPr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362" w:lineRule="auto"/>
              <w:ind w:left="120" w:right="738"/>
              <w:rPr>
                <w:sz w:val="24"/>
              </w:rPr>
            </w:pPr>
            <w:r>
              <w:rPr>
                <w:sz w:val="24"/>
              </w:rPr>
              <w:t>Mutación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ABR/BCL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195" w:right="364"/>
              <w:rPr>
                <w:sz w:val="24"/>
              </w:rPr>
            </w:pPr>
            <w:r>
              <w:rPr>
                <w:sz w:val="24"/>
              </w:rPr>
              <w:t>Mutación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 oncogén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implicado en la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leucemogénesis.</w:t>
            </w:r>
          </w:p>
        </w:tc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176" w:right="96"/>
              <w:rPr>
                <w:sz w:val="24"/>
              </w:rPr>
            </w:pPr>
            <w:r>
              <w:rPr>
                <w:sz w:val="24"/>
              </w:rPr>
              <w:t>Presencia de 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(9;22) en fish o rt-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PCR positiva 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bcr/abl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362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Cualitativo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4" w:val="left" w:leader="none"/>
              </w:tabs>
              <w:spacing w:line="240" w:lineRule="auto" w:before="0" w:after="0"/>
              <w:ind w:left="48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Ausente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4" w:val="left" w:leader="none"/>
              </w:tabs>
              <w:spacing w:line="240" w:lineRule="auto" w:before="140" w:after="0"/>
              <w:ind w:left="48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Presente</w:t>
            </w:r>
          </w:p>
        </w:tc>
      </w:tr>
      <w:tr>
        <w:trPr>
          <w:trHeight w:val="2070" w:hRule="atLeast"/>
        </w:trPr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20" w:right="511"/>
              <w:rPr>
                <w:sz w:val="24"/>
              </w:rPr>
            </w:pPr>
            <w:r>
              <w:rPr>
                <w:sz w:val="24"/>
              </w:rPr>
              <w:t>Niveles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hemoglobina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95" w:right="155"/>
              <w:rPr>
                <w:sz w:val="24"/>
              </w:rPr>
            </w:pPr>
            <w:r>
              <w:rPr>
                <w:sz w:val="24"/>
              </w:rPr>
              <w:t>Proteína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glóbulos rojos que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trasporta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oxígeno</w:t>
            </w:r>
          </w:p>
        </w:tc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76" w:right="143"/>
              <w:rPr>
                <w:sz w:val="24"/>
              </w:rPr>
            </w:pPr>
            <w:r>
              <w:rPr>
                <w:sz w:val="24"/>
              </w:rPr>
              <w:t>Determinacion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niveles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hemoglobina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hemograma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2" w:right="112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continua</w:t>
            </w:r>
          </w:p>
        </w:tc>
        <w:tc>
          <w:tcPr>
            <w:tcW w:w="2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g/dL</w:t>
            </w:r>
          </w:p>
        </w:tc>
      </w:tr>
      <w:tr>
        <w:trPr>
          <w:trHeight w:val="1519" w:hRule="atLeast"/>
        </w:trPr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20" w:right="692"/>
              <w:rPr>
                <w:sz w:val="24"/>
              </w:rPr>
            </w:pPr>
            <w:r>
              <w:rPr>
                <w:sz w:val="24"/>
              </w:rPr>
              <w:t>Número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plaquetas</w:t>
            </w:r>
          </w:p>
        </w:tc>
        <w:tc>
          <w:tcPr>
            <w:tcW w:w="2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95" w:right="416"/>
              <w:rPr>
                <w:sz w:val="24"/>
              </w:rPr>
            </w:pPr>
            <w:r>
              <w:rPr>
                <w:sz w:val="24"/>
              </w:rPr>
              <w:t>Fragmentos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megacariocitos,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implicados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</w:p>
          <w:p>
            <w:pPr>
              <w:pStyle w:val="TableParagraph"/>
              <w:spacing w:line="256" w:lineRule="exact" w:before="1"/>
              <w:ind w:left="195"/>
              <w:rPr>
                <w:sz w:val="24"/>
              </w:rPr>
            </w:pPr>
            <w:r>
              <w:rPr>
                <w:sz w:val="24"/>
              </w:rPr>
              <w:t>coagulación</w:t>
            </w:r>
          </w:p>
        </w:tc>
        <w:tc>
          <w:tcPr>
            <w:tcW w:w="2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76" w:right="156"/>
              <w:rPr>
                <w:sz w:val="24"/>
              </w:rPr>
            </w:pPr>
            <w:r>
              <w:rPr>
                <w:sz w:val="24"/>
              </w:rPr>
              <w:t>Determinación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plaquetario en</w:t>
            </w:r>
          </w:p>
          <w:p>
            <w:pPr>
              <w:pStyle w:val="TableParagraph"/>
              <w:spacing w:line="256" w:lineRule="exact" w:before="1"/>
              <w:ind w:left="176"/>
              <w:rPr>
                <w:sz w:val="24"/>
              </w:rPr>
            </w:pPr>
            <w:r>
              <w:rPr>
                <w:sz w:val="24"/>
              </w:rPr>
              <w:t>hemograma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12" w:right="112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continua</w:t>
            </w:r>
          </w:p>
        </w:tc>
        <w:tc>
          <w:tcPr>
            <w:tcW w:w="2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10*3/uL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pict>
          <v:rect style="position:absolute;margin-left:66.225006pt;margin-top:16.106268pt;width:479.155023pt;height:.399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2189"/>
        <w:gridCol w:w="1985"/>
        <w:gridCol w:w="1415"/>
        <w:gridCol w:w="2075"/>
      </w:tblGrid>
      <w:tr>
        <w:trPr>
          <w:trHeight w:val="826" w:hRule="atLeast"/>
        </w:trPr>
        <w:tc>
          <w:tcPr>
            <w:tcW w:w="1921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89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79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79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8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41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8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07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2038" w:hRule="atLeast"/>
        </w:trPr>
        <w:tc>
          <w:tcPr>
            <w:tcW w:w="1921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40"/>
              <w:ind w:left="120"/>
              <w:rPr>
                <w:sz w:val="24"/>
              </w:rPr>
            </w:pPr>
            <w:r>
              <w:rPr>
                <w:sz w:val="24"/>
              </w:rPr>
              <w:t>leucocitos</w:t>
            </w:r>
          </w:p>
        </w:tc>
        <w:tc>
          <w:tcPr>
            <w:tcW w:w="2189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79"/>
              <w:rPr>
                <w:sz w:val="24"/>
              </w:rPr>
            </w:pPr>
            <w:r>
              <w:rPr>
                <w:sz w:val="24"/>
              </w:rPr>
              <w:t>Células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sanguíneas,</w:t>
            </w:r>
          </w:p>
          <w:p>
            <w:pPr>
              <w:pStyle w:val="TableParagraph"/>
              <w:spacing w:line="357" w:lineRule="auto" w:before="140"/>
              <w:ind w:left="179" w:right="430"/>
              <w:rPr>
                <w:sz w:val="24"/>
              </w:rPr>
            </w:pPr>
            <w:r>
              <w:rPr>
                <w:sz w:val="24"/>
              </w:rPr>
              <w:t>implicadas en 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inmunidad</w:t>
            </w:r>
          </w:p>
        </w:tc>
        <w:tc>
          <w:tcPr>
            <w:tcW w:w="198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Determinación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360" w:lineRule="auto" w:before="140"/>
              <w:ind w:left="115" w:right="430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leucocitario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hemograma</w:t>
            </w:r>
          </w:p>
        </w:tc>
        <w:tc>
          <w:tcPr>
            <w:tcW w:w="141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18"/>
              <w:rPr>
                <w:sz w:val="24"/>
              </w:rPr>
            </w:pPr>
            <w:r>
              <w:rPr>
                <w:sz w:val="24"/>
              </w:rPr>
              <w:t>Cuantitativa</w:t>
            </w:r>
          </w:p>
          <w:p>
            <w:pPr>
              <w:pStyle w:val="TableParagraph"/>
              <w:spacing w:before="140"/>
              <w:ind w:left="118"/>
              <w:rPr>
                <w:sz w:val="24"/>
              </w:rPr>
            </w:pPr>
            <w:r>
              <w:rPr>
                <w:sz w:val="24"/>
              </w:rPr>
              <w:t>continua</w:t>
            </w:r>
          </w:p>
        </w:tc>
        <w:tc>
          <w:tcPr>
            <w:tcW w:w="207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10*3/uL</w:t>
            </w:r>
          </w:p>
        </w:tc>
      </w:tr>
      <w:tr>
        <w:trPr>
          <w:trHeight w:val="2070" w:hRule="atLeast"/>
        </w:trPr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Valores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LDH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79" w:right="150"/>
              <w:rPr>
                <w:sz w:val="24"/>
              </w:rPr>
            </w:pPr>
            <w:r>
              <w:rPr>
                <w:sz w:val="24"/>
              </w:rPr>
              <w:t>Lactato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deshidrogenasa,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enzima presente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leucocitos,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</w:t>
            </w: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tejidos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5" w:right="346"/>
              <w:rPr>
                <w:sz w:val="24"/>
              </w:rPr>
            </w:pPr>
            <w:r>
              <w:rPr>
                <w:sz w:val="24"/>
              </w:rPr>
              <w:t>Análisis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niveles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LDH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8" w:right="115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discreta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10*3/uL</w:t>
            </w:r>
          </w:p>
        </w:tc>
      </w:tr>
      <w:tr>
        <w:trPr>
          <w:trHeight w:val="2898" w:hRule="atLeast"/>
        </w:trPr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20" w:right="281"/>
              <w:rPr>
                <w:sz w:val="24"/>
              </w:rPr>
            </w:pPr>
            <w:r>
              <w:rPr>
                <w:sz w:val="24"/>
              </w:rPr>
              <w:t>% de blastos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Medula ósea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79" w:right="263"/>
              <w:rPr>
                <w:sz w:val="24"/>
              </w:rPr>
            </w:pPr>
            <w:r>
              <w:rPr>
                <w:sz w:val="24"/>
              </w:rPr>
              <w:t>Porcentaje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células inmaduras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precursoras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linfocitos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123"/>
              <w:rPr>
                <w:sz w:val="24"/>
              </w:rPr>
            </w:pPr>
            <w:r>
              <w:rPr>
                <w:sz w:val="24"/>
              </w:rPr>
              <w:t>Porcentaje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células inmaduras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precursoras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linfocitos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determinado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CMF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8" w:right="115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continua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Porcentaje (%)</w:t>
            </w:r>
          </w:p>
        </w:tc>
      </w:tr>
      <w:tr>
        <w:trPr>
          <w:trHeight w:val="3726" w:hRule="atLeast"/>
        </w:trPr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0" w:right="161"/>
              <w:rPr>
                <w:sz w:val="24"/>
              </w:rPr>
            </w:pPr>
            <w:r>
              <w:rPr>
                <w:sz w:val="24"/>
              </w:rPr>
              <w:t>Respuesta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quimioterapia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inducción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79" w:right="126"/>
              <w:rPr>
                <w:sz w:val="24"/>
              </w:rPr>
            </w:pPr>
            <w:r>
              <w:rPr>
                <w:sz w:val="24"/>
              </w:rPr>
              <w:t>Estado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enfermedad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logrado posterior 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tratamiento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inicial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alcanzada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posterior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tratamiento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quimioterapéutico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inicial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18" w:right="234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81" w:val="left" w:leader="none"/>
              </w:tabs>
              <w:spacing w:line="362" w:lineRule="auto" w:before="0" w:after="0"/>
              <w:ind w:left="480" w:right="285" w:hanging="360"/>
              <w:jc w:val="left"/>
              <w:rPr>
                <w:sz w:val="24"/>
              </w:rPr>
            </w:pPr>
            <w:r>
              <w:rPr>
                <w:sz w:val="24"/>
              </w:rPr>
              <w:t>RC con EMR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positiva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81" w:val="left" w:leader="none"/>
              </w:tabs>
              <w:spacing w:line="362" w:lineRule="auto" w:before="0" w:after="0"/>
              <w:ind w:left="480" w:right="285" w:hanging="360"/>
              <w:jc w:val="left"/>
              <w:rPr>
                <w:sz w:val="24"/>
              </w:rPr>
            </w:pPr>
            <w:r>
              <w:rPr>
                <w:sz w:val="24"/>
              </w:rPr>
              <w:t>RC con EMR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negativa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81" w:val="left" w:leader="none"/>
              </w:tabs>
              <w:spacing w:line="360" w:lineRule="auto" w:before="0" w:after="0"/>
              <w:ind w:left="480" w:right="117" w:hanging="360"/>
              <w:jc w:val="left"/>
              <w:rPr>
                <w:sz w:val="24"/>
              </w:rPr>
            </w:pPr>
            <w:r>
              <w:rPr>
                <w:sz w:val="24"/>
              </w:rPr>
              <w:t>Remisión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morfológica 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dato EMR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81" w:val="left" w:leader="none"/>
              </w:tabs>
              <w:spacing w:line="240" w:lineRule="auto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Refractario</w:t>
            </w:r>
          </w:p>
        </w:tc>
      </w:tr>
      <w:tr>
        <w:trPr>
          <w:trHeight w:val="1242" w:hRule="atLeast"/>
        </w:trPr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120" w:right="242"/>
              <w:rPr>
                <w:sz w:val="24"/>
              </w:rPr>
            </w:pPr>
            <w:r>
              <w:rPr>
                <w:sz w:val="24"/>
              </w:rPr>
              <w:t>Enfermedad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mínima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residual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179" w:right="226"/>
              <w:rPr>
                <w:sz w:val="24"/>
              </w:rPr>
            </w:pPr>
            <w:r>
              <w:rPr>
                <w:sz w:val="24"/>
              </w:rPr>
              <w:t>Erradicación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99%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células</w:t>
            </w:r>
          </w:p>
          <w:p>
            <w:pPr>
              <w:pStyle w:val="TableParagraph"/>
              <w:spacing w:before="5"/>
              <w:ind w:left="179"/>
              <w:rPr>
                <w:sz w:val="24"/>
              </w:rPr>
            </w:pPr>
            <w:r>
              <w:rPr>
                <w:sz w:val="24"/>
              </w:rPr>
              <w:t>neoplásicas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115" w:right="643"/>
              <w:rPr>
                <w:sz w:val="24"/>
              </w:rPr>
            </w:pPr>
            <w:r>
              <w:rPr>
                <w:sz w:val="24"/>
              </w:rPr>
              <w:t>Presencia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enfermedad</w:t>
            </w:r>
          </w:p>
          <w:p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mínima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residual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118" w:right="115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continua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Porcentaje (%)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4"/>
        <w:gridCol w:w="2186"/>
        <w:gridCol w:w="1995"/>
        <w:gridCol w:w="1405"/>
        <w:gridCol w:w="2075"/>
      </w:tblGrid>
      <w:tr>
        <w:trPr>
          <w:trHeight w:val="826" w:hRule="atLeast"/>
        </w:trPr>
        <w:tc>
          <w:tcPr>
            <w:tcW w:w="192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186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76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76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199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40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075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1622" w:hRule="atLeast"/>
        </w:trPr>
        <w:tc>
          <w:tcPr>
            <w:tcW w:w="192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finalizar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140"/>
              <w:ind w:left="120"/>
              <w:rPr>
                <w:sz w:val="24"/>
              </w:rPr>
            </w:pPr>
            <w:r>
              <w:rPr>
                <w:sz w:val="24"/>
              </w:rPr>
              <w:t>inducción</w:t>
            </w:r>
          </w:p>
        </w:tc>
        <w:tc>
          <w:tcPr>
            <w:tcW w:w="2186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76"/>
              <w:rPr>
                <w:sz w:val="24"/>
              </w:rPr>
            </w:pPr>
            <w:r>
              <w:rPr>
                <w:sz w:val="24"/>
              </w:rPr>
              <w:t>finalizar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140"/>
              <w:ind w:left="176"/>
              <w:rPr>
                <w:sz w:val="24"/>
              </w:rPr>
            </w:pPr>
            <w:r>
              <w:rPr>
                <w:sz w:val="24"/>
              </w:rPr>
              <w:t>inducción</w:t>
            </w:r>
          </w:p>
        </w:tc>
        <w:tc>
          <w:tcPr>
            <w:tcW w:w="199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finalizar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357" w:lineRule="auto" w:before="140"/>
              <w:ind w:left="115" w:right="240"/>
              <w:rPr>
                <w:sz w:val="24"/>
              </w:rPr>
            </w:pPr>
            <w:r>
              <w:rPr>
                <w:sz w:val="24"/>
              </w:rPr>
              <w:t>quimioterapia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inducción</w:t>
            </w:r>
          </w:p>
        </w:tc>
        <w:tc>
          <w:tcPr>
            <w:tcW w:w="140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5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98" w:hRule="atLeast"/>
        </w:trPr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20" w:right="397"/>
              <w:rPr>
                <w:sz w:val="24"/>
              </w:rPr>
            </w:pPr>
            <w:r>
              <w:rPr>
                <w:sz w:val="24"/>
              </w:rPr>
              <w:t>Quimioterapia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blinatumumab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76" w:right="137"/>
              <w:rPr>
                <w:sz w:val="24"/>
              </w:rPr>
            </w:pPr>
            <w:r>
              <w:rPr>
                <w:sz w:val="24"/>
              </w:rPr>
              <w:t>Anticuerpo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monoclonal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aprobado por FDA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 tratamiento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LLA en recaida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refractariedad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15" w:right="240"/>
              <w:rPr>
                <w:sz w:val="24"/>
              </w:rPr>
            </w:pP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quimioterapia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blinatumumab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08" w:right="234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0: no</w:t>
            </w:r>
          </w:p>
        </w:tc>
      </w:tr>
      <w:tr>
        <w:trPr>
          <w:trHeight w:val="3315" w:hRule="atLeast"/>
        </w:trPr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Recaída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76"/>
              <w:rPr>
                <w:sz w:val="24"/>
              </w:rPr>
            </w:pPr>
            <w:r>
              <w:rPr>
                <w:sz w:val="24"/>
              </w:rPr>
              <w:t>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aparición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360" w:lineRule="auto" w:before="136"/>
              <w:ind w:left="176" w:right="171"/>
              <w:rPr>
                <w:sz w:val="24"/>
              </w:rPr>
            </w:pPr>
            <w:r>
              <w:rPr>
                <w:sz w:val="24"/>
              </w:rPr>
              <w:t>&gt;20% blastos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médula ósea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sangre periférica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posterior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alcanzado 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respuesta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completa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"/>
              <w:ind w:left="115" w:right="653"/>
              <w:rPr>
                <w:sz w:val="24"/>
              </w:rPr>
            </w:pPr>
            <w:r>
              <w:rPr>
                <w:sz w:val="24"/>
              </w:rPr>
              <w:t>El paciente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 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recaída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0: no</w:t>
            </w:r>
          </w:p>
        </w:tc>
      </w:tr>
      <w:tr>
        <w:trPr>
          <w:trHeight w:val="344" w:hRule="atLeast"/>
        </w:trPr>
        <w:tc>
          <w:tcPr>
            <w:tcW w:w="192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76" w:right="110"/>
              <w:rPr>
                <w:sz w:val="24"/>
              </w:rPr>
            </w:pPr>
            <w:r>
              <w:rPr>
                <w:sz w:val="24"/>
              </w:rPr>
              <w:t>Tiempo en el cual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encontraba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respuesta completa,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la recaída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93"/>
              <w:rPr>
                <w:sz w:val="24"/>
              </w:rPr>
            </w:pP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transcurrido desde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 respuesta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recaída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08" w:right="115"/>
              <w:rPr>
                <w:sz w:val="24"/>
              </w:rPr>
            </w:pPr>
            <w:r>
              <w:rPr>
                <w:spacing w:val="-1"/>
                <w:sz w:val="24"/>
              </w:rPr>
              <w:t>Cuantitativa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discreta</w:t>
            </w:r>
          </w:p>
        </w:tc>
        <w:tc>
          <w:tcPr>
            <w:tcW w:w="2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Meses</w:t>
            </w:r>
          </w:p>
        </w:tc>
      </w:tr>
      <w:tr>
        <w:trPr>
          <w:trHeight w:val="2127" w:hRule="atLeast"/>
        </w:trPr>
        <w:tc>
          <w:tcPr>
            <w:tcW w:w="1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57" w:lineRule="auto" w:before="60"/>
              <w:ind w:left="120" w:right="371"/>
              <w:rPr>
                <w:sz w:val="24"/>
              </w:rPr>
            </w:pPr>
            <w:r>
              <w:rPr>
                <w:sz w:val="24"/>
              </w:rPr>
              <w:t>Duración de 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remisión</w:t>
            </w:r>
          </w:p>
        </w:tc>
        <w:tc>
          <w:tcPr>
            <w:tcW w:w="218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8" w:hRule="atLeast"/>
        </w:trPr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20" w:right="157"/>
              <w:rPr>
                <w:sz w:val="24"/>
              </w:rPr>
            </w:pPr>
            <w:r>
              <w:rPr>
                <w:sz w:val="24"/>
              </w:rPr>
              <w:t>Trasplante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progenitores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hematopoyéticos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76" w:right="24"/>
              <w:rPr>
                <w:sz w:val="24"/>
              </w:rPr>
            </w:pPr>
            <w:r>
              <w:rPr>
                <w:sz w:val="24"/>
              </w:rPr>
              <w:t>Herramienta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terapéutica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busca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disminuir</w:t>
            </w:r>
          </w:p>
          <w:p>
            <w:pPr>
              <w:pStyle w:val="TableParagraph"/>
              <w:spacing w:before="7"/>
              <w:ind w:left="176"/>
              <w:rPr>
                <w:sz w:val="24"/>
              </w:rPr>
            </w:pPr>
            <w:r>
              <w:rPr>
                <w:sz w:val="24"/>
              </w:rPr>
              <w:t>tasas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recaída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15" w:right="389"/>
              <w:rPr>
                <w:sz w:val="24"/>
              </w:rPr>
            </w:pPr>
            <w:r>
              <w:rPr>
                <w:sz w:val="24"/>
              </w:rPr>
              <w:t>Realización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procedimiento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7" w:lineRule="auto" w:before="3"/>
              <w:ind w:left="108" w:right="234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81" w:val="left" w:leader="none"/>
              </w:tabs>
              <w:spacing w:line="240" w:lineRule="auto" w:before="3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Realizado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81" w:val="left" w:leader="none"/>
              </w:tabs>
              <w:spacing w:line="240" w:lineRule="auto" w:before="136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realizado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2068"/>
        <w:gridCol w:w="2021"/>
        <w:gridCol w:w="1383"/>
        <w:gridCol w:w="2134"/>
      </w:tblGrid>
      <w:tr>
        <w:trPr>
          <w:trHeight w:val="831" w:hRule="atLeast"/>
        </w:trPr>
        <w:tc>
          <w:tcPr>
            <w:tcW w:w="197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2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2068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26"/>
              <w:rPr>
                <w:sz w:val="24"/>
              </w:rPr>
            </w:pPr>
            <w:r>
              <w:rPr>
                <w:sz w:val="24"/>
              </w:rPr>
              <w:t>CONCEPTUAL</w:t>
            </w:r>
          </w:p>
        </w:tc>
        <w:tc>
          <w:tcPr>
            <w:tcW w:w="2021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  <w:p>
            <w:pPr>
              <w:pStyle w:val="TableParagraph"/>
              <w:spacing w:before="136"/>
              <w:ind w:left="183"/>
              <w:rPr>
                <w:sz w:val="24"/>
              </w:rPr>
            </w:pPr>
            <w:r>
              <w:rPr>
                <w:sz w:val="24"/>
              </w:rPr>
              <w:t>OPERACIONAL</w:t>
            </w:r>
          </w:p>
        </w:tc>
        <w:tc>
          <w:tcPr>
            <w:tcW w:w="1383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2134" w:type="dxa"/>
            <w:tcBorders>
              <w:top w:val="single" w:sz="18" w:space="0" w:color="808080"/>
              <w:bottom w:val="single" w:sz="18" w:space="0" w:color="808080"/>
            </w:tcBorders>
            <w:shd w:val="clear" w:color="auto" w:fill="D9E1F3"/>
          </w:tcPr>
          <w:p>
            <w:pPr>
              <w:pStyle w:val="TableParagraph"/>
              <w:spacing w:before="3"/>
              <w:ind w:left="184"/>
              <w:rPr>
                <w:sz w:val="24"/>
              </w:rPr>
            </w:pPr>
            <w:r>
              <w:rPr>
                <w:sz w:val="24"/>
              </w:rPr>
              <w:t>POSIBLES</w:t>
            </w:r>
          </w:p>
          <w:p>
            <w:pPr>
              <w:pStyle w:val="TableParagraph"/>
              <w:spacing w:before="136"/>
              <w:ind w:left="184"/>
              <w:rPr>
                <w:sz w:val="24"/>
              </w:rPr>
            </w:pPr>
            <w:r>
              <w:rPr>
                <w:sz w:val="24"/>
              </w:rPr>
              <w:t>VALORES</w:t>
            </w:r>
          </w:p>
        </w:tc>
      </w:tr>
      <w:tr>
        <w:trPr>
          <w:trHeight w:val="378" w:hRule="atLeast"/>
        </w:trPr>
        <w:tc>
          <w:tcPr>
            <w:tcW w:w="197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8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1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3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4" w:type="dxa"/>
            <w:tcBorders>
              <w:top w:val="single" w:sz="18" w:space="0" w:color="80808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98" w:hRule="atLeast"/>
        </w:trPr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20" w:right="580"/>
              <w:rPr>
                <w:sz w:val="24"/>
              </w:rPr>
            </w:pPr>
            <w:r>
              <w:rPr>
                <w:sz w:val="24"/>
              </w:rPr>
              <w:t>Tipo de TPH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alogénico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6" w:right="209"/>
              <w:rPr>
                <w:sz w:val="24"/>
              </w:rPr>
            </w:pPr>
            <w:r>
              <w:rPr>
                <w:sz w:val="24"/>
              </w:rPr>
              <w:t>Tipo de TPH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acuerdo a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compatibilidad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 el donante 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 receptor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83" w:right="139"/>
              <w:rPr>
                <w:sz w:val="24"/>
              </w:rPr>
            </w:pPr>
            <w:r>
              <w:rPr>
                <w:sz w:val="24"/>
              </w:rPr>
              <w:t>Datos obtenidos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recolección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datos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50" w:right="170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545" w:val="left" w:leader="none"/>
              </w:tabs>
              <w:spacing w:line="362" w:lineRule="auto" w:before="0" w:after="0"/>
              <w:ind w:left="544" w:right="138" w:hanging="360"/>
              <w:jc w:val="left"/>
              <w:rPr>
                <w:sz w:val="24"/>
              </w:rPr>
            </w:pPr>
            <w:r>
              <w:rPr>
                <w:sz w:val="24"/>
              </w:rPr>
              <w:t>Hermano HLA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compatible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45" w:val="left" w:leader="none"/>
              </w:tabs>
              <w:spacing w:line="360" w:lineRule="auto" w:before="0" w:after="0"/>
              <w:ind w:left="544" w:right="271" w:hanging="360"/>
              <w:jc w:val="left"/>
              <w:rPr>
                <w:sz w:val="24"/>
              </w:rPr>
            </w:pPr>
            <w:r>
              <w:rPr>
                <w:sz w:val="24"/>
              </w:rPr>
              <w:t>Donante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familiar HLA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compatible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45" w:val="left" w:leader="none"/>
              </w:tabs>
              <w:spacing w:line="240" w:lineRule="auto" w:before="0" w:after="0"/>
              <w:ind w:left="5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Haploidéntico</w:t>
            </w:r>
          </w:p>
        </w:tc>
      </w:tr>
      <w:tr>
        <w:trPr>
          <w:trHeight w:val="2898" w:hRule="atLeast"/>
        </w:trPr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Mortalidad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global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6" w:right="162"/>
              <w:rPr>
                <w:sz w:val="24"/>
              </w:rPr>
            </w:pPr>
            <w:r>
              <w:rPr>
                <w:sz w:val="24"/>
              </w:rPr>
              <w:t>Desenlace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relacionado con 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fallecimiento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paciente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83" w:right="318"/>
              <w:rPr>
                <w:sz w:val="24"/>
              </w:rPr>
            </w:pPr>
            <w:r>
              <w:rPr>
                <w:sz w:val="24"/>
              </w:rPr>
              <w:t>Registro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fallecimiento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obtenido de los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datos obtenidos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 instrumento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 recolección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50" w:right="170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Si</w:t>
            </w:r>
          </w:p>
          <w:p>
            <w:pPr>
              <w:pStyle w:val="TableParagraph"/>
              <w:spacing w:before="140"/>
              <w:ind w:left="1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</w:tr>
      <w:tr>
        <w:trPr>
          <w:trHeight w:val="1931" w:hRule="atLeast"/>
        </w:trPr>
        <w:tc>
          <w:tcPr>
            <w:tcW w:w="1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20" w:right="366"/>
              <w:rPr>
                <w:sz w:val="24"/>
              </w:rPr>
            </w:pPr>
            <w:r>
              <w:rPr>
                <w:sz w:val="24"/>
              </w:rPr>
              <w:t>Estado vital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último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registro.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26" w:right="289"/>
              <w:rPr>
                <w:sz w:val="24"/>
              </w:rPr>
            </w:pPr>
            <w:r>
              <w:rPr>
                <w:sz w:val="24"/>
              </w:rPr>
              <w:t>Estado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clasificado como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vivo o muerto.</w:t>
            </w:r>
          </w:p>
        </w:tc>
        <w:tc>
          <w:tcPr>
            <w:tcW w:w="2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83" w:right="238"/>
              <w:rPr>
                <w:sz w:val="24"/>
              </w:rPr>
            </w:pPr>
            <w:r>
              <w:rPr>
                <w:sz w:val="24"/>
              </w:rPr>
              <w:t>Estado vital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documentado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última último</w:t>
            </w:r>
          </w:p>
          <w:p>
            <w:pPr>
              <w:pStyle w:val="TableParagraph"/>
              <w:spacing w:line="256" w:lineRule="exact"/>
              <w:ind w:left="183"/>
              <w:rPr>
                <w:sz w:val="24"/>
              </w:rPr>
            </w:pPr>
            <w:r>
              <w:rPr>
                <w:sz w:val="24"/>
              </w:rPr>
              <w:t>contacto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médico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50" w:right="170"/>
              <w:rPr>
                <w:sz w:val="24"/>
              </w:rPr>
            </w:pPr>
            <w:r>
              <w:rPr>
                <w:spacing w:val="-1"/>
                <w:sz w:val="24"/>
              </w:rPr>
              <w:t>Cualitativa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45" w:val="left" w:leader="none"/>
              </w:tabs>
              <w:spacing w:line="275" w:lineRule="exact" w:before="0" w:after="0"/>
              <w:ind w:left="5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Vivo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5" w:val="left" w:leader="none"/>
              </w:tabs>
              <w:spacing w:line="240" w:lineRule="auto" w:before="140" w:after="0"/>
              <w:ind w:left="5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Muerto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  <w:r>
        <w:rPr/>
        <w:pict>
          <v:rect style="position:absolute;margin-left:66.225006pt;margin-top:16.306261pt;width:479.155023pt;height:.399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90" w:after="0"/>
        <w:ind w:left="1201" w:right="0" w:hanging="361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P</w:t>
      </w:r>
      <w:r>
        <w:rPr/>
        <w:t>lan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Heading1"/>
        <w:ind w:left="480"/>
      </w:pPr>
      <w:bookmarkStart w:name="_bookmark21" w:id="41"/>
      <w:bookmarkEnd w:id="41"/>
      <w:r>
        <w:rPr>
          <w:b w:val="0"/>
        </w:rPr>
      </w:r>
      <w:r>
        <w:rPr/>
        <w:t>8.1</w:t>
      </w:r>
      <w:r>
        <w:rPr>
          <w:spacing w:val="-6"/>
        </w:rPr>
        <w:t> </w:t>
      </w:r>
      <w:r>
        <w:rPr/>
        <w:t>Análisis</w:t>
      </w:r>
      <w:r>
        <w:rPr>
          <w:spacing w:val="-7"/>
        </w:rPr>
        <w:t> </w:t>
      </w:r>
      <w:r>
        <w:rPr/>
        <w:t>estadístico</w:t>
      </w:r>
      <w:r>
        <w:rPr>
          <w:spacing w:val="-5"/>
        </w:rPr>
        <w:t> </w:t>
      </w:r>
      <w:r>
        <w:rPr/>
        <w:t>univariado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80" w:lineRule="auto"/>
        <w:ind w:left="480" w:right="630" w:firstLine="720"/>
      </w:pPr>
      <w:r>
        <w:rPr/>
        <w:t>Inicialmente, se ejecutó un análisis univariado con el fin de caracterizar la población</w:t>
      </w:r>
      <w:r>
        <w:rPr>
          <w:spacing w:val="-57"/>
        </w:rPr>
        <w:t> </w:t>
      </w:r>
      <w:r>
        <w:rPr/>
        <w:t>de</w:t>
      </w:r>
      <w:r>
        <w:rPr>
          <w:spacing w:val="14"/>
        </w:rPr>
        <w:t> </w:t>
      </w:r>
      <w:r>
        <w:rPr/>
        <w:t>estudio</w:t>
      </w:r>
      <w:r>
        <w:rPr>
          <w:spacing w:val="13"/>
        </w:rPr>
        <w:t> </w:t>
      </w:r>
      <w:r>
        <w:rPr/>
        <w:t>con</w:t>
      </w:r>
      <w:r>
        <w:rPr>
          <w:spacing w:val="8"/>
        </w:rPr>
        <w:t> </w:t>
      </w:r>
      <w:r>
        <w:rPr/>
        <w:t>respecto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características</w:t>
      </w:r>
      <w:r>
        <w:rPr>
          <w:spacing w:val="12"/>
        </w:rPr>
        <w:t> </w:t>
      </w:r>
      <w:r>
        <w:rPr/>
        <w:t>sociodemográficas,</w:t>
      </w:r>
      <w:r>
        <w:rPr>
          <w:spacing w:val="8"/>
        </w:rPr>
        <w:t> </w:t>
      </w:r>
      <w:r>
        <w:rPr/>
        <w:t>clínicas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paraclínicas</w:t>
      </w:r>
      <w:r>
        <w:rPr>
          <w:spacing w:val="11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</w:p>
    <w:p>
      <w:pPr>
        <w:spacing w:after="0" w:line="480" w:lineRule="auto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6"/>
        <w:jc w:val="both"/>
      </w:pPr>
      <w:r>
        <w:rPr/>
        <w:t>sobrevida global de los pacientes con leucemia linfoblástica aguda.</w:t>
      </w:r>
      <w:r>
        <w:rPr>
          <w:spacing w:val="1"/>
        </w:rPr>
        <w:t> </w:t>
      </w:r>
      <w:r>
        <w:rPr/>
        <w:t>Se describieron 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numéricas</w:t>
      </w:r>
      <w:r>
        <w:rPr>
          <w:spacing w:val="1"/>
        </w:rPr>
        <w:t> </w:t>
      </w:r>
      <w:r>
        <w:rPr/>
        <w:t>empleando</w:t>
      </w:r>
      <w:r>
        <w:rPr>
          <w:spacing w:val="1"/>
        </w:rPr>
        <w:t> </w:t>
      </w:r>
      <w:r>
        <w:rPr/>
        <w:t>medias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desviaciones</w:t>
      </w:r>
      <w:r>
        <w:rPr>
          <w:spacing w:val="1"/>
        </w:rPr>
        <w:t> </w:t>
      </w:r>
      <w:r>
        <w:rPr/>
        <w:t>estándar,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medianas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rangos</w:t>
      </w:r>
      <w:r>
        <w:rPr>
          <w:spacing w:val="1"/>
        </w:rPr>
        <w:t> </w:t>
      </w:r>
      <w:r>
        <w:rPr/>
        <w:t>intercuartil para aquellas que no tengan distribución normal. Para las variables cualitativas</w:t>
      </w:r>
      <w:r>
        <w:rPr>
          <w:spacing w:val="1"/>
        </w:rPr>
        <w:t> </w:t>
      </w:r>
      <w:r>
        <w:rPr/>
        <w:t>se calcularon</w:t>
      </w:r>
      <w:r>
        <w:rPr>
          <w:spacing w:val="2"/>
        </w:rPr>
        <w:t> </w:t>
      </w:r>
      <w:r>
        <w:rPr/>
        <w:t>frecuencias</w:t>
      </w:r>
      <w:r>
        <w:rPr>
          <w:spacing w:val="-2"/>
        </w:rPr>
        <w:t> </w:t>
      </w:r>
      <w:r>
        <w:rPr/>
        <w:t>relativas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porcentajes.</w:t>
      </w:r>
    </w:p>
    <w:p>
      <w:pPr>
        <w:pStyle w:val="BodyText"/>
        <w:spacing w:before="5"/>
      </w:pPr>
    </w:p>
    <w:p>
      <w:pPr>
        <w:pStyle w:val="Heading1"/>
        <w:ind w:left="480"/>
        <w:jc w:val="both"/>
      </w:pPr>
      <w:r>
        <w:rPr/>
        <w:t>Análisis</w:t>
      </w:r>
      <w:r>
        <w:rPr>
          <w:spacing w:val="-5"/>
        </w:rPr>
        <w:t> </w:t>
      </w:r>
      <w:r>
        <w:rPr/>
        <w:t>estadístico</w:t>
      </w:r>
      <w:r>
        <w:rPr>
          <w:spacing w:val="-3"/>
        </w:rPr>
        <w:t> </w:t>
      </w:r>
      <w:r>
        <w:rPr/>
        <w:t>bivariado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validez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criterio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80" w:lineRule="auto"/>
        <w:ind w:left="480" w:right="635" w:firstLine="720"/>
        <w:jc w:val="both"/>
      </w:pPr>
      <w:r>
        <w:rPr/>
        <w:t>El análisis bivariado se realizó tomando como variables dependientes la mortalidad,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recaída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residual,</w:t>
      </w:r>
      <w:r>
        <w:rPr>
          <w:spacing w:val="1"/>
        </w:rPr>
        <w:t> </w:t>
      </w:r>
      <w:r>
        <w:rPr/>
        <w:t>comparando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frecuencia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-57"/>
        </w:rPr>
        <w:t> </w:t>
      </w:r>
      <w:r>
        <w:rPr/>
        <w:t>cuatrienios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paramétricas 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comparaciones</w:t>
      </w:r>
      <w:r>
        <w:rPr>
          <w:spacing w:val="-3"/>
        </w:rPr>
        <w:t> </w:t>
      </w:r>
      <w:r>
        <w:rPr/>
        <w:t>entre</w:t>
      </w:r>
      <w:r>
        <w:rPr>
          <w:spacing w:val="1"/>
        </w:rPr>
        <w:t> </w:t>
      </w:r>
      <w:r>
        <w:rPr/>
        <w:t>grupos</w:t>
      </w:r>
      <w:r>
        <w:rPr>
          <w:spacing w:val="-3"/>
        </w:rPr>
        <w:t> </w:t>
      </w:r>
      <w:r>
        <w:rPr/>
        <w:t>según las</w:t>
      </w:r>
      <w:r>
        <w:rPr>
          <w:spacing w:val="-2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explicatorias</w:t>
      </w:r>
      <w:r>
        <w:rPr>
          <w:spacing w:val="5"/>
        </w:rPr>
        <w:t> </w:t>
      </w:r>
      <w:r>
        <w:rPr/>
        <w:t>y covariables.</w:t>
      </w:r>
    </w:p>
    <w:p>
      <w:pPr>
        <w:pStyle w:val="BodyText"/>
        <w:spacing w:before="5"/>
      </w:pPr>
    </w:p>
    <w:p>
      <w:pPr>
        <w:pStyle w:val="BodyText"/>
        <w:tabs>
          <w:tab w:pos="3045" w:val="left" w:leader="none"/>
          <w:tab w:pos="6312" w:val="left" w:leader="none"/>
          <w:tab w:pos="8820" w:val="left" w:leader="none"/>
        </w:tabs>
        <w:spacing w:line="480" w:lineRule="auto"/>
        <w:ind w:left="480" w:right="637" w:firstLine="720"/>
        <w:jc w:val="both"/>
      </w:pPr>
      <w:r>
        <w:rPr/>
        <w:t>Para todas las comparaciones se tuvo como referencia un nivel de significancia α =</w:t>
      </w:r>
      <w:r>
        <w:rPr>
          <w:spacing w:val="1"/>
        </w:rPr>
        <w:t> </w:t>
      </w:r>
      <w:r>
        <w:rPr/>
        <w:t>0.05, y para todas las medidas de efecto (Riesgo relativo) se calculó su respectivo intervalo</w:t>
      </w:r>
      <w:r>
        <w:rPr>
          <w:spacing w:val="1"/>
        </w:rPr>
        <w:t> </w:t>
      </w:r>
      <w:r>
        <w:rPr/>
        <w:t>de</w:t>
        <w:tab/>
        <w:t>confianza</w:t>
        <w:tab/>
        <w:t>al</w:t>
        <w:tab/>
      </w:r>
      <w:r>
        <w:rPr>
          <w:spacing w:val="-1"/>
        </w:rPr>
        <w:t>95%.</w:t>
      </w:r>
      <w:r>
        <w:rPr>
          <w:spacing w:val="-58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estadísticos</w:t>
      </w:r>
      <w:r>
        <w:rPr>
          <w:spacing w:val="2"/>
        </w:rPr>
        <w:t> </w:t>
      </w:r>
      <w:r>
        <w:rPr/>
        <w:t>se ejecutaron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paquete</w:t>
      </w:r>
      <w:r>
        <w:rPr>
          <w:spacing w:val="1"/>
        </w:rPr>
        <w:t> </w:t>
      </w:r>
      <w:r>
        <w:rPr/>
        <w:t>informático</w:t>
      </w:r>
      <w:r>
        <w:rPr>
          <w:spacing w:val="-1"/>
        </w:rPr>
        <w:t> </w:t>
      </w:r>
      <w:r>
        <w:rPr/>
        <w:t>STATA</w:t>
      </w:r>
      <w:r>
        <w:rPr>
          <w:spacing w:val="-3"/>
        </w:rPr>
        <w:t> </w:t>
      </w:r>
      <w:r>
        <w:rPr/>
        <w:t>14.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216" w:after="0"/>
        <w:ind w:left="1201" w:right="0" w:hanging="361"/>
        <w:jc w:val="left"/>
      </w:pPr>
      <w:bookmarkStart w:name="_bookmark22" w:id="42"/>
      <w:bookmarkEnd w:id="42"/>
      <w:r>
        <w:rPr>
          <w:b w:val="0"/>
        </w:rPr>
      </w:r>
      <w:bookmarkStart w:name="_bookmark22" w:id="43"/>
      <w:bookmarkEnd w:id="43"/>
      <w:r>
        <w:rPr/>
        <w:t>C</w:t>
      </w:r>
      <w:r>
        <w:rPr/>
        <w:t>onsideraciones</w:t>
      </w:r>
      <w:r>
        <w:rPr>
          <w:spacing w:val="-6"/>
        </w:rPr>
        <w:t> </w:t>
      </w:r>
      <w:r>
        <w:rPr/>
        <w:t>éticas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635" w:firstLine="720"/>
        <w:jc w:val="both"/>
      </w:pP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ético,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fundamenta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 establecidos en la Declaración de Helsinki que la Asociación Médica Mundial ha</w:t>
      </w:r>
      <w:r>
        <w:rPr>
          <w:spacing w:val="-57"/>
        </w:rPr>
        <w:t> </w:t>
      </w:r>
      <w:r>
        <w:rPr>
          <w:spacing w:val="-1"/>
        </w:rPr>
        <w:t>promulgado.</w:t>
      </w:r>
      <w:r>
        <w:rPr>
          <w:spacing w:val="-12"/>
        </w:rPr>
        <w:t> </w:t>
      </w:r>
      <w:r>
        <w:rPr>
          <w:spacing w:val="-1"/>
        </w:rPr>
        <w:t>Dicha</w:t>
      </w:r>
      <w:r>
        <w:rPr>
          <w:spacing w:val="-10"/>
        </w:rPr>
        <w:t> </w:t>
      </w:r>
      <w:r>
        <w:rPr>
          <w:spacing w:val="-1"/>
        </w:rPr>
        <w:t>Declaración</w:t>
      </w:r>
      <w:r>
        <w:rPr>
          <w:spacing w:val="-16"/>
        </w:rPr>
        <w:t> </w:t>
      </w:r>
      <w:r>
        <w:rPr/>
        <w:t>es</w:t>
      </w:r>
      <w:r>
        <w:rPr>
          <w:spacing w:val="-14"/>
        </w:rPr>
        <w:t> </w:t>
      </w:r>
      <w:r>
        <w:rPr/>
        <w:t>una</w:t>
      </w:r>
      <w:r>
        <w:rPr>
          <w:spacing w:val="-10"/>
        </w:rPr>
        <w:t> </w:t>
      </w:r>
      <w:r>
        <w:rPr/>
        <w:t>propuesta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principios</w:t>
      </w:r>
      <w:r>
        <w:rPr>
          <w:spacing w:val="-13"/>
        </w:rPr>
        <w:t> </w:t>
      </w:r>
      <w:r>
        <w:rPr/>
        <w:t>éticos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sirven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orientar</w:t>
      </w:r>
      <w:r>
        <w:rPr>
          <w:spacing w:val="-58"/>
        </w:rPr>
        <w:t> </w:t>
      </w:r>
      <w:r>
        <w:rPr/>
        <w:t>a los médicos y a otras personas que realizan investigación médica en seres humanos,</w:t>
      </w:r>
      <w:r>
        <w:rPr>
          <w:spacing w:val="1"/>
        </w:rPr>
        <w:t> </w:t>
      </w:r>
      <w:r>
        <w:rPr/>
        <w:t>incluyendo la investigación del material humano o de información identificable.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contexto</w:t>
      </w:r>
      <w:r>
        <w:rPr>
          <w:spacing w:val="-11"/>
        </w:rPr>
        <w:t> </w:t>
      </w:r>
      <w:r>
        <w:rPr/>
        <w:t>establecido</w:t>
      </w:r>
      <w:r>
        <w:rPr>
          <w:spacing w:val="-10"/>
        </w:rPr>
        <w:t> </w:t>
      </w:r>
      <w:r>
        <w:rPr/>
        <w:t>anteriormente,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estudio</w:t>
      </w:r>
      <w:r>
        <w:rPr>
          <w:spacing w:val="-11"/>
        </w:rPr>
        <w:t> </w:t>
      </w:r>
      <w:r>
        <w:rPr/>
        <w:t>se</w:t>
      </w:r>
      <w:r>
        <w:rPr>
          <w:spacing w:val="-5"/>
        </w:rPr>
        <w:t> </w:t>
      </w:r>
      <w:r>
        <w:rPr/>
        <w:t>tendrá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cuenta,</w:t>
      </w:r>
      <w:r>
        <w:rPr>
          <w:spacing w:val="7"/>
        </w:rPr>
        <w:t> </w:t>
      </w:r>
      <w:r>
        <w:rPr/>
        <w:t>además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48"/>
        <w:jc w:val="both"/>
      </w:pPr>
      <w:r>
        <w:rPr/>
        <w:t>principios contenidos en la Declaración de Helsinki, lo contemplado en la Resolución 8430</w:t>
      </w:r>
      <w:r>
        <w:rPr>
          <w:spacing w:val="1"/>
        </w:rPr>
        <w:t> </w:t>
      </w:r>
      <w:r>
        <w:rPr/>
        <w:t>de 1993 expedida por el Ministerio de Salud de Colombia, que estableció las normas</w:t>
      </w:r>
      <w:r>
        <w:rPr>
          <w:spacing w:val="1"/>
        </w:rPr>
        <w:t> </w:t>
      </w:r>
      <w:r>
        <w:rPr/>
        <w:t>científicas,</w:t>
      </w:r>
      <w:r>
        <w:rPr>
          <w:spacing w:val="-1"/>
        </w:rPr>
        <w:t> </w:t>
      </w:r>
      <w:r>
        <w:rPr/>
        <w:t>técnicas</w:t>
      </w:r>
      <w:r>
        <w:rPr>
          <w:spacing w:val="-2"/>
        </w:rPr>
        <w:t> </w:t>
      </w:r>
      <w:r>
        <w:rPr/>
        <w:t>y administrativas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 investigación en salud.</w:t>
      </w:r>
    </w:p>
    <w:p>
      <w:pPr>
        <w:pStyle w:val="BodyText"/>
        <w:spacing w:line="480" w:lineRule="auto" w:before="1"/>
        <w:ind w:left="480" w:right="637" w:firstLine="720"/>
        <w:jc w:val="both"/>
      </w:pPr>
      <w:r>
        <w:rPr/>
        <w:t>Teniendo en cuenta los principios éticos y dando cumplimiento al Artículo 6 de la</w:t>
      </w:r>
      <w:r>
        <w:rPr>
          <w:spacing w:val="1"/>
        </w:rPr>
        <w:t> </w:t>
      </w:r>
      <w:r>
        <w:rPr/>
        <w:t>resolución 8430 de 1993 del Ministerio de Salud, se considera que el presente estudio no</w:t>
      </w:r>
      <w:r>
        <w:rPr>
          <w:spacing w:val="1"/>
        </w:rPr>
        <w:t> </w:t>
      </w:r>
      <w:r>
        <w:rPr/>
        <w:t>afectará el principio de no maleficencia, ya que en este estudio no se producirá daño hacia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involucrados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realizarán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esquemas</w:t>
      </w:r>
      <w:r>
        <w:rPr>
          <w:spacing w:val="1"/>
        </w:rPr>
        <w:t> </w:t>
      </w:r>
      <w:r>
        <w:rPr/>
        <w:t>terapéuticos, ni se indagará personalmente o por medio de llamadas telefónicas acerca de</w:t>
      </w:r>
      <w:r>
        <w:rPr>
          <w:spacing w:val="1"/>
        </w:rPr>
        <w:t> </w:t>
      </w:r>
      <w:r>
        <w:rPr/>
        <w:t>información sensible. Así mismo no se afectará el principio de autonomía, ya que en este</w:t>
      </w:r>
      <w:r>
        <w:rPr>
          <w:spacing w:val="1"/>
        </w:rPr>
        <w:t> </w:t>
      </w:r>
      <w:r>
        <w:rPr/>
        <w:t>estudio de cohorte de tipo retrospectivo los eventos a evaluar, posiblemente ya fueron</w:t>
      </w:r>
      <w:r>
        <w:rPr>
          <w:spacing w:val="1"/>
        </w:rPr>
        <w:t> </w:t>
      </w:r>
      <w:r>
        <w:rPr>
          <w:spacing w:val="-1"/>
        </w:rPr>
        <w:t>desarrollados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modificó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8"/>
        </w:rPr>
        <w:t> </w:t>
      </w:r>
      <w:r>
        <w:rPr/>
        <w:t>momento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toma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decisiones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usuarios</w:t>
      </w:r>
      <w:r>
        <w:rPr>
          <w:spacing w:val="-58"/>
        </w:rPr>
        <w:t> </w:t>
      </w:r>
      <w:r>
        <w:rPr/>
        <w:t>involucrados</w:t>
      </w:r>
    </w:p>
    <w:p>
      <w:pPr>
        <w:pStyle w:val="BodyText"/>
        <w:spacing w:line="480" w:lineRule="auto" w:before="1"/>
        <w:ind w:left="480" w:right="636" w:firstLine="720"/>
        <w:jc w:val="both"/>
      </w:pP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6"/>
        </w:rPr>
        <w:t> </w:t>
      </w:r>
      <w:r>
        <w:rPr/>
        <w:t>al</w:t>
      </w:r>
      <w:r>
        <w:rPr>
          <w:spacing w:val="-4"/>
        </w:rPr>
        <w:t> </w:t>
      </w:r>
      <w:r>
        <w:rPr/>
        <w:t>principio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verá</w:t>
      </w:r>
      <w:r>
        <w:rPr>
          <w:spacing w:val="3"/>
        </w:rPr>
        <w:t> </w:t>
      </w:r>
      <w:r>
        <w:rPr/>
        <w:t>afectado,</w:t>
      </w:r>
      <w:r>
        <w:rPr>
          <w:spacing w:val="-4"/>
        </w:rPr>
        <w:t> </w:t>
      </w:r>
      <w:r>
        <w:rPr/>
        <w:t>ya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expondrá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58"/>
        </w:rPr>
        <w:t> </w:t>
      </w:r>
      <w:r>
        <w:rPr/>
        <w:t>individuos a una situación de riesgo real o potencial y no se sacará ventaja de ninguna</w:t>
      </w:r>
      <w:r>
        <w:rPr>
          <w:spacing w:val="1"/>
        </w:rPr>
        <w:t> </w:t>
      </w:r>
      <w:r>
        <w:rPr/>
        <w:t>situación de vulnerabilidad legal o de subordinación de los usuarios con motivo de esta</w:t>
      </w:r>
      <w:r>
        <w:rPr>
          <w:spacing w:val="1"/>
        </w:rPr>
        <w:t> </w:t>
      </w:r>
      <w:r>
        <w:rPr/>
        <w:t>investigación.</w:t>
      </w:r>
    </w:p>
    <w:p>
      <w:pPr>
        <w:pStyle w:val="BodyText"/>
        <w:spacing w:line="480" w:lineRule="auto" w:before="1"/>
        <w:ind w:left="480" w:right="645" w:firstLine="720"/>
        <w:jc w:val="both"/>
      </w:pPr>
      <w:r>
        <w:rPr/>
        <w:t>Este estudio no afectará el principio de Beneficencia, no causará daños o lesiones a</w:t>
      </w:r>
      <w:r>
        <w:rPr>
          <w:spacing w:val="1"/>
        </w:rPr>
        <w:t> </w:t>
      </w:r>
      <w:r>
        <w:rPr/>
        <w:t>los usuarios. Los beneficios para las personas están derivados de los resultados de este</w:t>
      </w:r>
      <w:r>
        <w:rPr>
          <w:spacing w:val="1"/>
        </w:rPr>
        <w:t> </w:t>
      </w:r>
      <w:r>
        <w:rPr/>
        <w:t>estudio,</w:t>
      </w:r>
      <w:r>
        <w:rPr>
          <w:spacing w:val="-14"/>
        </w:rPr>
        <w:t> </w:t>
      </w:r>
      <w:r>
        <w:rPr/>
        <w:t>ya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permitirá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obtención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nuevo</w:t>
      </w:r>
      <w:r>
        <w:rPr>
          <w:spacing w:val="-14"/>
        </w:rPr>
        <w:t> </w:t>
      </w:r>
      <w:r>
        <w:rPr/>
        <w:t>conocimiento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así</w:t>
      </w:r>
      <w:r>
        <w:rPr>
          <w:spacing w:val="-14"/>
        </w:rPr>
        <w:t> </w:t>
      </w:r>
      <w:r>
        <w:rPr/>
        <w:t>mismo</w:t>
      </w:r>
      <w:r>
        <w:rPr>
          <w:spacing w:val="-14"/>
        </w:rPr>
        <w:t> </w:t>
      </w:r>
      <w:r>
        <w:rPr/>
        <w:t>favorece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mejora</w:t>
      </w:r>
      <w:r>
        <w:rPr>
          <w:spacing w:val="-58"/>
        </w:rPr>
        <w:t> </w:t>
      </w:r>
      <w:r>
        <w:rPr/>
        <w:t>de la calidad del cuidado, y la toma de decisiones en relación al tratamiento en este tipo de</w:t>
      </w:r>
      <w:r>
        <w:rPr>
          <w:spacing w:val="1"/>
        </w:rPr>
        <w:t> </w:t>
      </w:r>
      <w:r>
        <w:rPr/>
        <w:t>población. Esta investigación se desarrollará y se ejecutará por médicos especialistas en</w:t>
      </w:r>
      <w:r>
        <w:rPr>
          <w:spacing w:val="1"/>
        </w:rPr>
        <w:t> </w:t>
      </w:r>
      <w:r>
        <w:rPr/>
        <w:t>hematología, endocrinología, y médicos en proceso de formación como internistas quienes</w:t>
      </w:r>
      <w:r>
        <w:rPr>
          <w:spacing w:val="1"/>
        </w:rPr>
        <w:t> </w:t>
      </w:r>
      <w:r>
        <w:rPr/>
        <w:t>tienen</w:t>
      </w:r>
      <w:r>
        <w:rPr>
          <w:spacing w:val="-7"/>
        </w:rPr>
        <w:t> </w:t>
      </w:r>
      <w:r>
        <w:rPr/>
        <w:t>experiencia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patologías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sujetos</w:t>
      </w:r>
      <w:r>
        <w:rPr>
          <w:spacing w:val="-7"/>
        </w:rPr>
        <w:t> </w:t>
      </w:r>
      <w:r>
        <w:rPr/>
        <w:t>evaluados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conocimiento</w:t>
      </w:r>
      <w:r>
        <w:rPr>
          <w:spacing w:val="-58"/>
        </w:rPr>
        <w:t> </w:t>
      </w:r>
      <w:r>
        <w:rPr/>
        <w:t>para la</w:t>
      </w:r>
      <w:r>
        <w:rPr>
          <w:spacing w:val="-3"/>
        </w:rPr>
        <w:t> </w:t>
      </w:r>
      <w:r>
        <w:rPr/>
        <w:t>ejecución 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4" w:firstLine="359"/>
        <w:jc w:val="both"/>
      </w:pPr>
      <w:r>
        <w:rPr/>
        <w:t>Adicionalmente, el estudio “Registro Epidemiológico de pacientes adultos con leucemia</w:t>
      </w:r>
      <w:r>
        <w:rPr>
          <w:spacing w:val="-57"/>
        </w:rPr>
        <w:t> </w:t>
      </w:r>
      <w:r>
        <w:rPr/>
        <w:t>linfoblástica</w:t>
      </w:r>
      <w:r>
        <w:rPr>
          <w:spacing w:val="1"/>
        </w:rPr>
        <w:t> </w:t>
      </w:r>
      <w:r>
        <w:rPr/>
        <w:t>aguda”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Fundación</w:t>
      </w:r>
      <w:r>
        <w:rPr>
          <w:spacing w:val="1"/>
        </w:rPr>
        <w:t> </w:t>
      </w:r>
      <w:r>
        <w:rPr/>
        <w:t>Oftalmológica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Santander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FOSCAL”, cuenta previamente con aprobación del comité de ética de la Foscal, según Acta</w:t>
      </w:r>
      <w:r>
        <w:rPr>
          <w:spacing w:val="-57"/>
        </w:rPr>
        <w:t> </w:t>
      </w:r>
      <w:r>
        <w:rPr/>
        <w:t>No.</w:t>
      </w:r>
      <w:r>
        <w:rPr>
          <w:spacing w:val="-1"/>
        </w:rPr>
        <w:t> </w:t>
      </w:r>
      <w:r>
        <w:rPr/>
        <w:t>40 del 3 de</w:t>
      </w:r>
      <w:r>
        <w:rPr>
          <w:spacing w:val="1"/>
        </w:rPr>
        <w:t> </w:t>
      </w:r>
      <w:r>
        <w:rPr/>
        <w:t>noviembre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23" w:id="44"/>
      <w:bookmarkEnd w:id="44"/>
      <w:r>
        <w:rPr>
          <w:b w:val="0"/>
        </w:rPr>
      </w:r>
      <w:bookmarkStart w:name="_bookmark23" w:id="45"/>
      <w:bookmarkEnd w:id="45"/>
      <w:r>
        <w:rPr/>
        <w:t>R</w:t>
      </w:r>
      <w:r>
        <w:rPr/>
        <w:t>esultados</w:t>
      </w:r>
    </w:p>
    <w:p>
      <w:pPr>
        <w:pStyle w:val="BodyText"/>
        <w:rPr>
          <w:b/>
        </w:rPr>
      </w:pPr>
    </w:p>
    <w:p>
      <w:pPr>
        <w:spacing w:before="0"/>
        <w:ind w:left="480" w:right="0" w:firstLine="0"/>
        <w:jc w:val="left"/>
        <w:rPr>
          <w:i/>
          <w:sz w:val="24"/>
        </w:rPr>
      </w:pPr>
      <w:bookmarkStart w:name="_bookmark24" w:id="46"/>
      <w:bookmarkEnd w:id="46"/>
      <w:r>
        <w:rPr/>
      </w:r>
      <w:r>
        <w:rPr>
          <w:i/>
          <w:color w:val="44536A"/>
          <w:sz w:val="24"/>
        </w:rPr>
        <w:t>Figura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2.</w:t>
      </w:r>
    </w:p>
    <w:p>
      <w:pPr>
        <w:spacing w:before="201"/>
        <w:ind w:left="480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Flujograma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de pacientes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incluidos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el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estudio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1664134</wp:posOffset>
            </wp:positionH>
            <wp:positionV relativeFrom="paragraph">
              <wp:posOffset>129635</wp:posOffset>
            </wp:positionV>
            <wp:extent cx="4095218" cy="28194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1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0"/>
        <w:ind w:left="480" w:right="630" w:firstLine="720"/>
        <w:jc w:val="both"/>
      </w:pPr>
      <w:r>
        <w:rPr/>
        <w:t>Del total de los pacientes pertenecientes a la base de datos secundaria anonimizada,</w:t>
      </w:r>
      <w:r>
        <w:rPr>
          <w:spacing w:val="1"/>
        </w:rPr>
        <w:t> </w:t>
      </w:r>
      <w:r>
        <w:rPr/>
        <w:t>se</w:t>
      </w:r>
      <w:r>
        <w:rPr>
          <w:spacing w:val="-6"/>
        </w:rPr>
        <w:t> </w:t>
      </w:r>
      <w:r>
        <w:rPr/>
        <w:t>incluyeron</w:t>
      </w:r>
      <w:r>
        <w:rPr>
          <w:spacing w:val="-7"/>
        </w:rPr>
        <w:t> </w:t>
      </w:r>
      <w:r>
        <w:rPr/>
        <w:t>128</w:t>
      </w:r>
      <w:r>
        <w:rPr>
          <w:spacing w:val="-11"/>
        </w:rPr>
        <w:t> </w:t>
      </w:r>
      <w:r>
        <w:rPr/>
        <w:t>pacientes,</w:t>
      </w:r>
      <w:r>
        <w:rPr>
          <w:spacing w:val="-7"/>
        </w:rPr>
        <w:t> </w:t>
      </w:r>
      <w:r>
        <w:rPr/>
        <w:t>los</w:t>
      </w:r>
      <w:r>
        <w:rPr>
          <w:spacing w:val="-13"/>
        </w:rPr>
        <w:t> </w:t>
      </w:r>
      <w:r>
        <w:rPr/>
        <w:t>cuales</w:t>
      </w:r>
      <w:r>
        <w:rPr>
          <w:spacing w:val="-8"/>
        </w:rPr>
        <w:t> </w:t>
      </w:r>
      <w:r>
        <w:rPr/>
        <w:t>cumplían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los</w:t>
      </w:r>
      <w:r>
        <w:rPr>
          <w:spacing w:val="-8"/>
        </w:rPr>
        <w:t> </w:t>
      </w:r>
      <w:r>
        <w:rPr/>
        <w:t>criterios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inclusión</w:t>
      </w:r>
      <w:r>
        <w:rPr>
          <w:spacing w:val="5"/>
        </w:rPr>
        <w:t> </w:t>
      </w:r>
      <w:r>
        <w:rPr/>
        <w:t>(Figura</w:t>
      </w:r>
      <w:r>
        <w:rPr>
          <w:spacing w:val="-4"/>
        </w:rPr>
        <w:t> </w:t>
      </w:r>
      <w:r>
        <w:rPr/>
        <w:t>2).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estos, el 53,12% (n=68) hacían parte del periodo 2013 a 2016 (primer cuatrienio) y</w:t>
      </w:r>
      <w:r>
        <w:rPr>
          <w:spacing w:val="1"/>
        </w:rPr>
        <w:t> </w:t>
      </w:r>
      <w:r>
        <w:rPr/>
        <w:t>46,88%</w:t>
      </w:r>
      <w:r>
        <w:rPr>
          <w:spacing w:val="-57"/>
        </w:rPr>
        <w:t> </w:t>
      </w:r>
      <w:r>
        <w:rPr/>
        <w:t>(n =60)</w:t>
      </w:r>
      <w:r>
        <w:rPr>
          <w:spacing w:val="1"/>
        </w:rPr>
        <w:t> </w:t>
      </w:r>
      <w:r>
        <w:rPr/>
        <w:t>al periodo 2017 a 2020 (segundo cuatrienio). De los pacientes incluidos, en el</w:t>
      </w:r>
      <w:r>
        <w:rPr>
          <w:spacing w:val="1"/>
        </w:rPr>
        <w:t> </w:t>
      </w:r>
      <w:r>
        <w:rPr/>
        <w:t>estudio,</w:t>
      </w:r>
      <w:r>
        <w:rPr>
          <w:spacing w:val="-1"/>
        </w:rPr>
        <w:t> </w:t>
      </w:r>
      <w:r>
        <w:rPr/>
        <w:t>al</w:t>
      </w:r>
      <w:r>
        <w:rPr>
          <w:spacing w:val="3"/>
        </w:rPr>
        <w:t> </w:t>
      </w:r>
      <w:r>
        <w:rPr/>
        <w:t>62,28%</w:t>
      </w:r>
      <w:r>
        <w:rPr>
          <w:spacing w:val="-1"/>
        </w:rPr>
        <w:t> </w:t>
      </w:r>
      <w:r>
        <w:rPr/>
        <w:t>(n=81) se</w:t>
      </w:r>
      <w:r>
        <w:rPr>
          <w:spacing w:val="1"/>
        </w:rPr>
        <w:t> </w:t>
      </w:r>
      <w:r>
        <w:rPr/>
        <w:t>les</w:t>
      </w:r>
      <w:r>
        <w:rPr>
          <w:spacing w:val="-3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diagnóstico institucional</w:t>
      </w:r>
      <w:r>
        <w:rPr>
          <w:spacing w:val="-1"/>
        </w:rPr>
        <w:t> </w:t>
      </w:r>
      <w:r>
        <w:rPr/>
        <w:t>(Tabla</w:t>
      </w:r>
      <w:r>
        <w:rPr>
          <w:spacing w:val="4"/>
        </w:rPr>
        <w:t> </w:t>
      </w:r>
      <w:r>
        <w:rPr/>
        <w:t>2).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25" w:id="47"/>
      <w:bookmarkEnd w:id="47"/>
      <w:r>
        <w:rPr/>
      </w:r>
      <w:r>
        <w:rPr>
          <w:i/>
          <w:color w:val="44536A"/>
          <w:sz w:val="24"/>
        </w:rPr>
        <w:t>Tabla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2.</w:t>
      </w:r>
    </w:p>
    <w:p>
      <w:pPr>
        <w:spacing w:before="200"/>
        <w:ind w:left="480" w:right="694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Clasificación de los pacientes de acuerdo al lugar de diagnóstico y al periodo de tiempo,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los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pacientes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con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Leucemia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Linfoblástica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aguda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atendidos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la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FOSCAL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el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periodo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2013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- 2020.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6"/>
        <w:gridCol w:w="1905"/>
        <w:gridCol w:w="1905"/>
      </w:tblGrid>
      <w:tr>
        <w:trPr>
          <w:trHeight w:val="414" w:hRule="atLeast"/>
        </w:trPr>
        <w:tc>
          <w:tcPr>
            <w:tcW w:w="3866" w:type="dxa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Diagnóstico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institucional</w:t>
            </w:r>
          </w:p>
        </w:tc>
        <w:tc>
          <w:tcPr>
            <w:tcW w:w="1905" w:type="dxa"/>
            <w:shd w:val="clear" w:color="auto" w:fill="D0CECE"/>
          </w:tcPr>
          <w:p>
            <w:pPr>
              <w:pStyle w:val="TableParagraph"/>
              <w:spacing w:before="3"/>
              <w:ind w:left="0" w:right="5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05" w:type="dxa"/>
            <w:shd w:val="clear" w:color="auto" w:fill="D0CECE"/>
          </w:tcPr>
          <w:p>
            <w:pPr>
              <w:pStyle w:val="TableParagraph"/>
              <w:spacing w:before="3"/>
              <w:ind w:left="0"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3866" w:type="dxa"/>
          </w:tcPr>
          <w:p>
            <w:pPr>
              <w:pStyle w:val="TableParagraph"/>
              <w:spacing w:before="3"/>
              <w:ind w:left="311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63,28%</w:t>
            </w:r>
          </w:p>
        </w:tc>
      </w:tr>
      <w:tr>
        <w:trPr>
          <w:trHeight w:val="414" w:hRule="atLeast"/>
        </w:trPr>
        <w:tc>
          <w:tcPr>
            <w:tcW w:w="3866" w:type="dxa"/>
          </w:tcPr>
          <w:p>
            <w:pPr>
              <w:pStyle w:val="TableParagraph"/>
              <w:spacing w:before="3"/>
              <w:ind w:left="31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36,72%</w:t>
            </w:r>
          </w:p>
        </w:tc>
      </w:tr>
      <w:tr>
        <w:trPr>
          <w:trHeight w:val="414" w:hRule="atLeast"/>
        </w:trPr>
        <w:tc>
          <w:tcPr>
            <w:tcW w:w="3866" w:type="dxa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Grupo</w:t>
            </w:r>
          </w:p>
        </w:tc>
        <w:tc>
          <w:tcPr>
            <w:tcW w:w="1905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5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866" w:type="dxa"/>
          </w:tcPr>
          <w:p>
            <w:pPr>
              <w:pStyle w:val="TableParagraph"/>
              <w:spacing w:before="3"/>
              <w:ind w:left="311"/>
              <w:rPr>
                <w:sz w:val="24"/>
              </w:rPr>
            </w:pPr>
            <w:r>
              <w:rPr>
                <w:sz w:val="24"/>
              </w:rPr>
              <w:t>Primer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cuatrienio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53,12%</w:t>
            </w:r>
          </w:p>
        </w:tc>
      </w:tr>
      <w:tr>
        <w:trPr>
          <w:trHeight w:val="414" w:hRule="atLeast"/>
        </w:trPr>
        <w:tc>
          <w:tcPr>
            <w:tcW w:w="3866" w:type="dxa"/>
          </w:tcPr>
          <w:p>
            <w:pPr>
              <w:pStyle w:val="TableParagraph"/>
              <w:spacing w:before="3"/>
              <w:ind w:left="311"/>
              <w:rPr>
                <w:sz w:val="24"/>
              </w:rPr>
            </w:pP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Cuatrienio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46,88%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BodyText"/>
        <w:spacing w:line="480" w:lineRule="auto"/>
        <w:ind w:left="480" w:right="636" w:firstLine="720"/>
        <w:jc w:val="both"/>
      </w:pPr>
      <w:r>
        <w:rPr/>
        <w:t>De las características sociodemográficas de la población estudiada, se identificó que</w:t>
      </w:r>
      <w:r>
        <w:rPr>
          <w:spacing w:val="-57"/>
        </w:rPr>
        <w:t> </w:t>
      </w:r>
      <w:r>
        <w:rPr/>
        <w:t>el</w:t>
      </w:r>
      <w:r>
        <w:rPr>
          <w:spacing w:val="1"/>
        </w:rPr>
        <w:t> </w:t>
      </w:r>
      <w:r>
        <w:rPr/>
        <w:t>53,91%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(n=69)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hombres,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diagnóstico fue de 34,65 años (DS 18,3) y el 35% de la totalidad de la población estudiada</w:t>
      </w:r>
      <w:r>
        <w:rPr>
          <w:spacing w:val="1"/>
        </w:rPr>
        <w:t> </w:t>
      </w:r>
      <w:r>
        <w:rPr/>
        <w:t>tenían edades de 20 a 29 años. Las ocupaciones más frecuentes al momento del diagnóstico</w:t>
      </w:r>
      <w:r>
        <w:rPr>
          <w:spacing w:val="1"/>
        </w:rPr>
        <w:t> </w:t>
      </w:r>
      <w:r>
        <w:rPr/>
        <w:t>fueron: trabajo independiente, estudiante y asalariado, con una frecuencia del 25 %, 18,75%</w:t>
      </w:r>
      <w:r>
        <w:rPr>
          <w:spacing w:val="-57"/>
        </w:rPr>
        <w:t> </w:t>
      </w:r>
      <w:r>
        <w:rPr/>
        <w:t>y</w:t>
      </w:r>
      <w:r>
        <w:rPr>
          <w:spacing w:val="59"/>
        </w:rPr>
        <w:t> </w:t>
      </w:r>
      <w:r>
        <w:rPr/>
        <w:t>15,63% respectivamente.</w:t>
      </w:r>
    </w:p>
    <w:p>
      <w:pPr>
        <w:pStyle w:val="BodyText"/>
        <w:spacing w:line="480" w:lineRule="auto" w:before="2"/>
        <w:ind w:left="480" w:right="636" w:firstLine="720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escolaridad,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contaban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secundaria</w:t>
      </w:r>
      <w:r>
        <w:rPr>
          <w:spacing w:val="-13"/>
        </w:rPr>
        <w:t> </w:t>
      </w:r>
      <w:r>
        <w:rPr/>
        <w:t>completa</w:t>
      </w:r>
      <w:r>
        <w:rPr>
          <w:spacing w:val="-6"/>
        </w:rPr>
        <w:t> </w:t>
      </w:r>
      <w:r>
        <w:rPr/>
        <w:t>(30,47%),</w:t>
      </w:r>
      <w:r>
        <w:rPr>
          <w:spacing w:val="-10"/>
        </w:rPr>
        <w:t> </w:t>
      </w:r>
      <w:r>
        <w:rPr/>
        <w:t>seguido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aquellos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contaban</w:t>
      </w:r>
      <w:r>
        <w:rPr>
          <w:spacing w:val="-10"/>
        </w:rPr>
        <w:t> </w:t>
      </w:r>
      <w:r>
        <w:rPr/>
        <w:t>sólo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básica</w:t>
      </w:r>
      <w:r>
        <w:rPr>
          <w:spacing w:val="-57"/>
        </w:rPr>
        <w:t> </w:t>
      </w:r>
      <w:r>
        <w:rPr/>
        <w:t>(21,09%)</w:t>
      </w:r>
      <w:r>
        <w:rPr>
          <w:spacing w:val="1"/>
        </w:rPr>
        <w:t> </w:t>
      </w:r>
      <w:r>
        <w:rPr/>
        <w:t>y una proporción pequeña (7,03%), poseían estudios universitarios. Además, se</w:t>
      </w:r>
      <w:r>
        <w:rPr>
          <w:spacing w:val="1"/>
        </w:rPr>
        <w:t> </w:t>
      </w:r>
      <w:r>
        <w:rPr/>
        <w:t>identificó que el 92,19% de los pacientes residían en área urbana y sólo un 7,81% residían</w:t>
      </w:r>
      <w:r>
        <w:rPr>
          <w:spacing w:val="1"/>
        </w:rPr>
        <w:t> </w:t>
      </w:r>
      <w:r>
        <w:rPr/>
        <w:t>en</w:t>
      </w:r>
      <w:r>
        <w:rPr>
          <w:spacing w:val="-6"/>
        </w:rPr>
        <w:t> </w:t>
      </w:r>
      <w:r>
        <w:rPr/>
        <w:t>área</w:t>
      </w:r>
      <w:r>
        <w:rPr>
          <w:spacing w:val="-4"/>
        </w:rPr>
        <w:t> </w:t>
      </w:r>
      <w:r>
        <w:rPr/>
        <w:t>rural.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61,72%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se</w:t>
      </w:r>
      <w:r>
        <w:rPr>
          <w:spacing w:val="-4"/>
        </w:rPr>
        <w:t> </w:t>
      </w:r>
      <w:r>
        <w:rPr/>
        <w:t>encontraban</w:t>
      </w:r>
      <w:r>
        <w:rPr>
          <w:spacing w:val="-6"/>
        </w:rPr>
        <w:t> </w:t>
      </w:r>
      <w:r>
        <w:rPr/>
        <w:t>afiliados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régimen</w:t>
      </w:r>
      <w:r>
        <w:rPr>
          <w:spacing w:val="-9"/>
        </w:rPr>
        <w:t> </w:t>
      </w:r>
      <w:r>
        <w:rPr/>
        <w:t>contributivo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salud,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25,78%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subsidiado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12,50%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(magisterio,</w:t>
      </w:r>
      <w:r>
        <w:rPr>
          <w:spacing w:val="1"/>
        </w:rPr>
        <w:t> </w:t>
      </w:r>
      <w:r>
        <w:rPr/>
        <w:t>ECOPETROL,</w:t>
      </w:r>
      <w:r>
        <w:rPr>
          <w:spacing w:val="-1"/>
        </w:rPr>
        <w:t> </w:t>
      </w:r>
      <w:r>
        <w:rPr/>
        <w:t>fuerzas</w:t>
      </w:r>
      <w:r>
        <w:rPr>
          <w:spacing w:val="-2"/>
        </w:rPr>
        <w:t> </w:t>
      </w:r>
      <w:r>
        <w:rPr/>
        <w:t>armadas).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26" w:id="48"/>
      <w:bookmarkEnd w:id="48"/>
      <w:r>
        <w:rPr/>
      </w:r>
      <w:r>
        <w:rPr>
          <w:i/>
          <w:color w:val="44536A"/>
          <w:sz w:val="24"/>
        </w:rPr>
        <w:t>Tabla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3.</w:t>
      </w:r>
    </w:p>
    <w:p>
      <w:pPr>
        <w:spacing w:before="200"/>
        <w:ind w:left="480" w:right="66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Características sociodemográficas de los pacientes atendidos en la FOSCAL, con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diagnóstico de Leucemia Linfoblástica aguda en el periodo 2013 – 2020, y su comparación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por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cuatrienios.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564"/>
        <w:gridCol w:w="1984"/>
        <w:gridCol w:w="1984"/>
        <w:gridCol w:w="892"/>
      </w:tblGrid>
      <w:tr>
        <w:trPr>
          <w:trHeight w:val="830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Característica,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(n=128)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cuatrienio</w:t>
            </w:r>
          </w:p>
          <w:p>
            <w:pPr>
              <w:pStyle w:val="TableParagraph"/>
              <w:spacing w:before="136"/>
              <w:ind w:left="45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(n=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68)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5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Segundo</w:t>
            </w:r>
          </w:p>
          <w:p>
            <w:pPr>
              <w:pStyle w:val="TableParagraph"/>
              <w:spacing w:before="136"/>
              <w:ind w:left="5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cuatrienio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(n=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60)</w:t>
            </w:r>
          </w:p>
        </w:tc>
        <w:tc>
          <w:tcPr>
            <w:tcW w:w="892" w:type="dxa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Edad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diagnóstico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(6,25)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1 (1,47)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7 (11,67)</w:t>
            </w:r>
          </w:p>
        </w:tc>
        <w:tc>
          <w:tcPr>
            <w:tcW w:w="892" w:type="dxa"/>
            <w:vMerge w:val="restart"/>
          </w:tcPr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10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 (16,41)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8 (11,76)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13 (21,67)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6" w:lineRule="exact"/>
              <w:ind w:left="310"/>
              <w:rPr>
                <w:sz w:val="24"/>
              </w:rPr>
            </w:pPr>
            <w:r>
              <w:rPr>
                <w:sz w:val="24"/>
              </w:rPr>
              <w:t>20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</w:t>
            </w:r>
          </w:p>
        </w:tc>
        <w:tc>
          <w:tcPr>
            <w:tcW w:w="1564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35 (27,34)</w:t>
            </w:r>
          </w:p>
        </w:tc>
        <w:tc>
          <w:tcPr>
            <w:tcW w:w="1984" w:type="dxa"/>
          </w:tcPr>
          <w:p>
            <w:pPr>
              <w:pStyle w:val="TableParagraph"/>
              <w:spacing w:line="276" w:lineRule="exact"/>
              <w:ind w:left="67"/>
              <w:rPr>
                <w:sz w:val="24"/>
              </w:rPr>
            </w:pPr>
            <w:r>
              <w:rPr>
                <w:sz w:val="24"/>
              </w:rPr>
              <w:t>21 (30,88)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14 (23,33)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30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 (13,28)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11 (16,18)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6 (10)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40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 (14,06)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13 (19,12)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5 (8,33)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50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 (11,72)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8 (11,76)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7 (11,67)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60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(6,25)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2 (2,94)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6 (10,1)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70 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(3,91)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3 (4,41)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2 (3,33)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80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89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(0,78)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1 (1,47)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Género,</w:t>
            </w: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Masculino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69 (53,91)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35 (51,47)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34 (56,67)</w:t>
            </w:r>
          </w:p>
        </w:tc>
        <w:tc>
          <w:tcPr>
            <w:tcW w:w="892" w:type="dxa"/>
            <w:vMerge w:val="restart"/>
          </w:tcPr>
          <w:p>
            <w:pPr>
              <w:pStyle w:val="TableParagraph"/>
              <w:spacing w:before="11"/>
              <w:ind w:left="132"/>
              <w:rPr>
                <w:sz w:val="24"/>
              </w:rPr>
            </w:pPr>
            <w:r>
              <w:rPr>
                <w:sz w:val="24"/>
              </w:rPr>
              <w:t>0,556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Femenino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59 (46,09)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33 (48,53)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26 (43,33)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6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procedencia</w:t>
            </w: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Urbano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118 (92,19)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64 (94,12)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54 (90)</w:t>
            </w:r>
          </w:p>
        </w:tc>
        <w:tc>
          <w:tcPr>
            <w:tcW w:w="892" w:type="dxa"/>
            <w:vMerge w:val="restart"/>
          </w:tcPr>
          <w:p>
            <w:pPr>
              <w:pStyle w:val="TableParagraph"/>
              <w:spacing w:before="10"/>
              <w:ind w:left="132"/>
              <w:rPr>
                <w:sz w:val="24"/>
              </w:rPr>
            </w:pPr>
            <w:r>
              <w:rPr>
                <w:sz w:val="24"/>
              </w:rPr>
              <w:t>0,386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 (7,81)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4 (5,88)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6 (10)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Seguridad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social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Contributivo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79 (61,72)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38 (55,88)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41 (68,33)</w:t>
            </w:r>
          </w:p>
        </w:tc>
        <w:tc>
          <w:tcPr>
            <w:tcW w:w="892" w:type="dxa"/>
            <w:vMerge w:val="restart"/>
          </w:tcPr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6" w:lineRule="exact"/>
              <w:ind w:left="310"/>
              <w:rPr>
                <w:sz w:val="24"/>
              </w:rPr>
            </w:pPr>
            <w:r>
              <w:rPr>
                <w:sz w:val="24"/>
              </w:rPr>
              <w:t>Subsidiado</w:t>
            </w:r>
          </w:p>
        </w:tc>
        <w:tc>
          <w:tcPr>
            <w:tcW w:w="1564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33 (25,78)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6" w:lineRule="exact"/>
              <w:ind w:left="67"/>
              <w:rPr>
                <w:sz w:val="24"/>
              </w:rPr>
            </w:pPr>
            <w:r>
              <w:rPr>
                <w:sz w:val="24"/>
              </w:rPr>
              <w:t>23 (33,82)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10 (16,67)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Especial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 (12,50)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7 (10,29)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9 (15)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</w:t>
            </w:r>
          </w:p>
        </w:tc>
      </w:tr>
      <w:tr>
        <w:trPr>
          <w:trHeight w:val="825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Básica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(Analfabeta,</w:t>
            </w:r>
          </w:p>
          <w:p>
            <w:pPr>
              <w:pStyle w:val="TableParagraph"/>
              <w:spacing w:before="140"/>
              <w:ind w:left="70"/>
              <w:rPr>
                <w:sz w:val="24"/>
              </w:rPr>
            </w:pPr>
            <w:r>
              <w:rPr>
                <w:sz w:val="24"/>
              </w:rPr>
              <w:t>Primaria)</w:t>
            </w:r>
          </w:p>
        </w:tc>
        <w:tc>
          <w:tcPr>
            <w:tcW w:w="1564" w:type="dxa"/>
          </w:tcPr>
          <w:p>
            <w:pPr>
              <w:pStyle w:val="TableParagraph"/>
              <w:spacing w:before="207"/>
              <w:rPr>
                <w:sz w:val="24"/>
              </w:rPr>
            </w:pPr>
            <w:r>
              <w:rPr>
                <w:sz w:val="24"/>
              </w:rPr>
              <w:t>27 (21,09)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13 (34,21)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(32,56)</w:t>
            </w:r>
          </w:p>
        </w:tc>
        <w:tc>
          <w:tcPr>
            <w:tcW w:w="89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i/>
                <w:sz w:val="37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0,808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before="3"/>
              <w:ind w:left="310"/>
              <w:rPr>
                <w:sz w:val="24"/>
              </w:rPr>
            </w:pPr>
            <w:r>
              <w:rPr>
                <w:sz w:val="24"/>
              </w:rPr>
              <w:t>Secundaria</w:t>
            </w:r>
          </w:p>
        </w:tc>
        <w:tc>
          <w:tcPr>
            <w:tcW w:w="1564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39 (30,47)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67"/>
              <w:rPr>
                <w:sz w:val="24"/>
              </w:rPr>
            </w:pPr>
            <w:r>
              <w:rPr>
                <w:sz w:val="24"/>
              </w:rPr>
              <w:t>18 (47,37)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21 (48,84)</w:t>
            </w:r>
          </w:p>
        </w:tc>
        <w:tc>
          <w:tcPr>
            <w:tcW w:w="8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2405" w:type="dxa"/>
          </w:tcPr>
          <w:p>
            <w:pPr>
              <w:pStyle w:val="TableParagraph"/>
              <w:spacing w:before="3"/>
              <w:ind w:left="310"/>
              <w:rPr>
                <w:sz w:val="24"/>
              </w:rPr>
            </w:pPr>
            <w:r>
              <w:rPr>
                <w:sz w:val="24"/>
              </w:rPr>
              <w:t>Pregrado</w:t>
            </w:r>
          </w:p>
        </w:tc>
        <w:tc>
          <w:tcPr>
            <w:tcW w:w="1564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 (6,25)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67"/>
              <w:rPr>
                <w:sz w:val="24"/>
              </w:rPr>
            </w:pPr>
            <w:r>
              <w:rPr>
                <w:sz w:val="24"/>
              </w:rPr>
              <w:t>5 (13,16)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3 (6,98)</w:t>
            </w:r>
          </w:p>
        </w:tc>
        <w:tc>
          <w:tcPr>
            <w:tcW w:w="8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4"/>
        <w:rPr>
          <w:i/>
          <w:sz w:val="8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564"/>
        <w:gridCol w:w="1984"/>
        <w:gridCol w:w="1984"/>
        <w:gridCol w:w="892"/>
      </w:tblGrid>
      <w:tr>
        <w:trPr>
          <w:trHeight w:val="415" w:hRule="atLeast"/>
        </w:trPr>
        <w:tc>
          <w:tcPr>
            <w:tcW w:w="2405" w:type="dxa"/>
            <w:tcBorders>
              <w:top w:val="nil"/>
            </w:tcBorders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grado</w:t>
            </w: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(0,78)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 (2,33)</w:t>
            </w:r>
          </w:p>
        </w:tc>
        <w:tc>
          <w:tcPr>
            <w:tcW w:w="89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Técnico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 (4,69)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2 (5,26)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4 (9,3)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Ocupación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Asalariado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 (15,63)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8 (19,51)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12 (25,53)</w:t>
            </w:r>
          </w:p>
        </w:tc>
        <w:tc>
          <w:tcPr>
            <w:tcW w:w="892" w:type="dxa"/>
            <w:vMerge w:val="restart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Estudiante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 (18,75)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9 (21,95)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15 (31,91)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Independiente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32 (25)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16 (39,02)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15 (31,91)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Cesante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(3,91)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2 (4,88)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3 (6,38)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Hogar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(6,25)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6 (14,3)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2 (4,26)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8829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Diagnóstico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institucional</w:t>
            </w: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81 (63,28)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51 (75)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30 (50)</w:t>
            </w:r>
          </w:p>
        </w:tc>
        <w:tc>
          <w:tcPr>
            <w:tcW w:w="892" w:type="dxa"/>
            <w:vMerge w:val="restart"/>
          </w:tcPr>
          <w:p>
            <w:pPr>
              <w:pStyle w:val="TableParagraph"/>
              <w:spacing w:before="10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0,003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6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47 (36,72)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17 (25)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30 (50)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spacing w:line="480" w:lineRule="auto" w:before="90"/>
        <w:ind w:left="480" w:right="640" w:firstLine="720"/>
        <w:jc w:val="both"/>
      </w:pPr>
      <w:r>
        <w:rPr/>
        <w:t>La</w:t>
      </w:r>
      <w:r>
        <w:rPr>
          <w:spacing w:val="-1"/>
        </w:rPr>
        <w:t> </w:t>
      </w:r>
      <w:r>
        <w:rPr/>
        <w:t>funcionalidad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previo</w:t>
      </w:r>
      <w:r>
        <w:rPr>
          <w:spacing w:val="-7"/>
        </w:rPr>
        <w:t> </w:t>
      </w:r>
      <w:r>
        <w:rPr/>
        <w:t>al</w:t>
      </w:r>
      <w:r>
        <w:rPr>
          <w:spacing w:val="-1"/>
        </w:rPr>
        <w:t> </w:t>
      </w:r>
      <w:r>
        <w:rPr/>
        <w:t>diagnóstico,</w:t>
      </w:r>
      <w:r>
        <w:rPr>
          <w:spacing w:val="-2"/>
        </w:rPr>
        <w:t> </w:t>
      </w:r>
      <w:r>
        <w:rPr/>
        <w:t>se evaluó</w:t>
      </w:r>
      <w:r>
        <w:rPr>
          <w:spacing w:val="-7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escala</w:t>
      </w:r>
      <w:r>
        <w:rPr>
          <w:spacing w:val="-57"/>
        </w:rPr>
        <w:t> </w:t>
      </w:r>
      <w:r>
        <w:rPr/>
        <w:t>ECOG</w:t>
      </w:r>
      <w:r>
        <w:rPr>
          <w:spacing w:val="-11"/>
        </w:rPr>
        <w:t> </w:t>
      </w:r>
      <w:r>
        <w:rPr/>
        <w:t>(</w:t>
      </w:r>
      <w:r>
        <w:rPr>
          <w:i/>
        </w:rPr>
        <w:t>Eastern</w:t>
      </w:r>
      <w:r>
        <w:rPr>
          <w:i/>
          <w:spacing w:val="-9"/>
        </w:rPr>
        <w:t> </w:t>
      </w:r>
      <w:r>
        <w:rPr>
          <w:i/>
        </w:rPr>
        <w:t>Cooperative</w:t>
      </w:r>
      <w:r>
        <w:rPr>
          <w:i/>
          <w:spacing w:val="-8"/>
        </w:rPr>
        <w:t> </w:t>
      </w:r>
      <w:r>
        <w:rPr>
          <w:i/>
        </w:rPr>
        <w:t>Oncology</w:t>
      </w:r>
      <w:r>
        <w:rPr>
          <w:i/>
          <w:spacing w:val="-8"/>
        </w:rPr>
        <w:t> </w:t>
      </w:r>
      <w:r>
        <w:rPr>
          <w:i/>
        </w:rPr>
        <w:t>Group)</w:t>
      </w:r>
      <w:r>
        <w:rPr/>
        <w:t>,</w:t>
      </w:r>
      <w:r>
        <w:rPr>
          <w:spacing w:val="-9"/>
        </w:rPr>
        <w:t> </w:t>
      </w:r>
      <w:r>
        <w:rPr/>
        <w:t>encontrando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mayoría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pacientes</w:t>
      </w:r>
      <w:r>
        <w:rPr>
          <w:spacing w:val="-58"/>
        </w:rPr>
        <w:t> </w:t>
      </w:r>
      <w:r>
        <w:rPr/>
        <w:t>estaban</w:t>
      </w:r>
      <w:r>
        <w:rPr>
          <w:spacing w:val="1"/>
        </w:rPr>
        <w:t> </w:t>
      </w:r>
      <w:r>
        <w:rPr/>
        <w:t>clasificados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ECOG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72,66%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21,09%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line="480" w:lineRule="auto" w:before="1"/>
        <w:ind w:left="480" w:right="636" w:firstLine="720"/>
        <w:jc w:val="both"/>
      </w:pPr>
      <w:r>
        <w:rPr/>
        <w:t>En cuanto a las comorbilidades presentes al momento del diagnóstico, la mayoría de</w:t>
      </w:r>
      <w:r>
        <w:rPr>
          <w:spacing w:val="-57"/>
        </w:rPr>
        <w:t> </w:t>
      </w:r>
      <w:r>
        <w:rPr/>
        <w:t>los pacientes no reportaba ninguna comorbilidad (82,81%, n=106), 8</w:t>
      </w:r>
      <w:r>
        <w:rPr>
          <w:spacing w:val="1"/>
        </w:rPr>
        <w:t> </w:t>
      </w:r>
      <w:r>
        <w:rPr/>
        <w:t>pacientes (6,25%)</w:t>
      </w:r>
      <w:r>
        <w:rPr>
          <w:spacing w:val="1"/>
        </w:rPr>
        <w:t> </w:t>
      </w:r>
      <w:r>
        <w:rPr/>
        <w:t>reportaba</w:t>
      </w:r>
      <w:r>
        <w:rPr>
          <w:spacing w:val="-14"/>
        </w:rPr>
        <w:t> </w:t>
      </w:r>
      <w:r>
        <w:rPr/>
        <w:t>diabetes,</w:t>
      </w:r>
      <w:r>
        <w:rPr>
          <w:spacing w:val="-11"/>
        </w:rPr>
        <w:t> </w:t>
      </w:r>
      <w:r>
        <w:rPr/>
        <w:t>2</w:t>
      </w:r>
      <w:r>
        <w:rPr>
          <w:spacing w:val="-11"/>
        </w:rPr>
        <w:t> </w:t>
      </w:r>
      <w:r>
        <w:rPr/>
        <w:t>pacientes</w:t>
      </w:r>
      <w:r>
        <w:rPr>
          <w:spacing w:val="-13"/>
        </w:rPr>
        <w:t> </w:t>
      </w:r>
      <w:r>
        <w:rPr/>
        <w:t>(1,56%)</w:t>
      </w:r>
      <w:r>
        <w:rPr>
          <w:spacing w:val="-15"/>
        </w:rPr>
        <w:t> </w:t>
      </w:r>
      <w:r>
        <w:rPr/>
        <w:t>cardiopatía</w:t>
      </w:r>
      <w:r>
        <w:rPr>
          <w:spacing w:val="-10"/>
        </w:rPr>
        <w:t> </w:t>
      </w:r>
      <w:r>
        <w:rPr/>
        <w:t>isquémica,</w:t>
      </w:r>
      <w:r>
        <w:rPr>
          <w:spacing w:val="-11"/>
        </w:rPr>
        <w:t> </w:t>
      </w:r>
      <w:r>
        <w:rPr/>
        <w:t>2</w:t>
      </w:r>
      <w:r>
        <w:rPr>
          <w:spacing w:val="-11"/>
        </w:rPr>
        <w:t> </w:t>
      </w:r>
      <w:r>
        <w:rPr/>
        <w:t>pacientes</w:t>
      </w:r>
      <w:r>
        <w:rPr>
          <w:spacing w:val="-13"/>
        </w:rPr>
        <w:t> </w:t>
      </w:r>
      <w:r>
        <w:rPr/>
        <w:t>(1,56%)</w:t>
      </w:r>
      <w:r>
        <w:rPr>
          <w:spacing w:val="-11"/>
        </w:rPr>
        <w:t> </w:t>
      </w:r>
      <w:r>
        <w:rPr/>
        <w:t>síndrome</w:t>
      </w:r>
      <w:r>
        <w:rPr>
          <w:spacing w:val="-57"/>
        </w:rPr>
        <w:t> </w:t>
      </w:r>
      <w:r>
        <w:rPr/>
        <w:t>de Down. La enfermedad valvular severa, cardiopatía isquémica, tumores sólidos previos,</w:t>
      </w:r>
      <w:r>
        <w:rPr>
          <w:spacing w:val="1"/>
        </w:rPr>
        <w:t> </w:t>
      </w:r>
      <w:r>
        <w:rPr/>
        <w:t>enfermedades pulmonares, exposición a plaguicidas y los trastornos psiquiátricos, fueron</w:t>
      </w:r>
      <w:r>
        <w:rPr>
          <w:spacing w:val="1"/>
        </w:rPr>
        <w:t> </w:t>
      </w:r>
      <w:r>
        <w:rPr/>
        <w:t>reportados en baja frecuencia, con un porcentaje del 0,78% para cada una de las anteriores</w:t>
      </w:r>
      <w:r>
        <w:rPr>
          <w:spacing w:val="1"/>
        </w:rPr>
        <w:t> </w:t>
      </w:r>
      <w:r>
        <w:rPr/>
        <w:t>mencionadas.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(2,34%)</w:t>
      </w:r>
      <w:r>
        <w:rPr>
          <w:spacing w:val="1"/>
        </w:rPr>
        <w:t> </w:t>
      </w:r>
      <w:r>
        <w:rPr/>
        <w:t>reportaban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comorbilidades:</w:t>
      </w:r>
      <w:r>
        <w:rPr>
          <w:spacing w:val="1"/>
        </w:rPr>
        <w:t> </w:t>
      </w:r>
      <w:r>
        <w:rPr/>
        <w:t>riñones</w:t>
      </w:r>
      <w:r>
        <w:rPr>
          <w:spacing w:val="1"/>
        </w:rPr>
        <w:t> </w:t>
      </w:r>
      <w:r>
        <w:rPr/>
        <w:t>poli</w:t>
      </w:r>
      <w:r>
        <w:rPr>
          <w:spacing w:val="1"/>
        </w:rPr>
        <w:t> </w:t>
      </w:r>
      <w:r>
        <w:rPr/>
        <w:t>quísticos,</w:t>
      </w:r>
      <w:r>
        <w:rPr>
          <w:spacing w:val="-2"/>
        </w:rPr>
        <w:t> </w:t>
      </w:r>
      <w:r>
        <w:rPr/>
        <w:t>hipertensión</w:t>
      </w:r>
      <w:r>
        <w:rPr>
          <w:spacing w:val="-6"/>
        </w:rPr>
        <w:t> </w:t>
      </w:r>
      <w:r>
        <w:rPr/>
        <w:t>arterial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parálisis</w:t>
      </w:r>
      <w:r>
        <w:rPr>
          <w:spacing w:val="-4"/>
        </w:rPr>
        <w:t> </w:t>
      </w:r>
      <w:r>
        <w:rPr/>
        <w:t>cerebral.</w:t>
      </w:r>
      <w:r>
        <w:rPr>
          <w:spacing w:val="-2"/>
        </w:rPr>
        <w:t> </w:t>
      </w:r>
      <w:r>
        <w:rPr/>
        <w:t>La mayoría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pacientes</w:t>
      </w:r>
      <w:r>
        <w:rPr>
          <w:spacing w:val="-4"/>
        </w:rPr>
        <w:t> </w:t>
      </w:r>
      <w:r>
        <w:rPr/>
        <w:t>(48,48%)</w:t>
      </w:r>
      <w:r>
        <w:rPr>
          <w:spacing w:val="57"/>
        </w:rPr>
        <w:t> </w:t>
      </w:r>
      <w:r>
        <w:rPr/>
        <w:t>se</w:t>
      </w:r>
      <w:r>
        <w:rPr>
          <w:spacing w:val="-58"/>
        </w:rPr>
        <w:t> </w:t>
      </w:r>
      <w:r>
        <w:rPr/>
        <w:t>encontraban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sobrepeso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obesidad</w:t>
      </w:r>
      <w:r>
        <w:rPr>
          <w:spacing w:val="-1"/>
        </w:rPr>
        <w:t> </w:t>
      </w:r>
      <w:r>
        <w:rPr/>
        <w:t>(IMC&gt;25)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 la clasificación</w:t>
      </w:r>
      <w:r>
        <w:rPr>
          <w:spacing w:val="-1"/>
        </w:rPr>
        <w:t> </w:t>
      </w:r>
      <w:r>
        <w:rPr/>
        <w:t>OMS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0" w:firstLine="720"/>
        <w:jc w:val="both"/>
      </w:pP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características</w:t>
      </w:r>
      <w:r>
        <w:rPr>
          <w:spacing w:val="-8"/>
        </w:rPr>
        <w:t> </w:t>
      </w:r>
      <w:r>
        <w:rPr/>
        <w:t>clínicas</w:t>
      </w:r>
      <w:r>
        <w:rPr>
          <w:spacing w:val="-8"/>
        </w:rPr>
        <w:t> </w:t>
      </w:r>
      <w:r>
        <w:rPr/>
        <w:t>presentes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diagnóstico,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encontró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mayoría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pacientes no presentaba visceromegalias (47,25%). De quienes presentaron compromiso</w:t>
      </w:r>
      <w:r>
        <w:rPr>
          <w:spacing w:val="1"/>
        </w:rPr>
        <w:t> </w:t>
      </w:r>
      <w:r>
        <w:rPr/>
        <w:t>visceral,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esplenomegalia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frecuente</w:t>
      </w:r>
      <w:r>
        <w:rPr>
          <w:spacing w:val="1"/>
        </w:rPr>
        <w:t> </w:t>
      </w:r>
      <w:r>
        <w:rPr/>
        <w:t>(30,77),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hepatomegalia (12,09%). En una proporción importante de pacientes (el 28,91%, n=37) no</w:t>
      </w:r>
      <w:r>
        <w:rPr>
          <w:spacing w:val="1"/>
        </w:rPr>
        <w:t> </w:t>
      </w:r>
      <w:r>
        <w:rPr/>
        <w:t>se encontraron datos. El 62,50% de los pacientes no presentaban otros compromisos extra-</w:t>
      </w:r>
      <w:r>
        <w:rPr>
          <w:spacing w:val="1"/>
        </w:rPr>
        <w:t> </w:t>
      </w:r>
      <w:r>
        <w:rPr/>
        <w:t>medulares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encontraron</w:t>
      </w:r>
      <w:r>
        <w:rPr>
          <w:spacing w:val="-1"/>
        </w:rPr>
        <w:t> </w:t>
      </w:r>
      <w:r>
        <w:rPr/>
        <w:t>datos</w:t>
      </w:r>
      <w:r>
        <w:rPr>
          <w:spacing w:val="-3"/>
        </w:rPr>
        <w:t> </w:t>
      </w:r>
      <w:r>
        <w:rPr/>
        <w:t>de este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 compromiso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21,88%</w:t>
      </w:r>
      <w:r>
        <w:rPr>
          <w:spacing w:val="-1"/>
        </w:rPr>
        <w:t> </w:t>
      </w:r>
      <w:r>
        <w:rPr/>
        <w:t>(n=28).</w:t>
      </w:r>
    </w:p>
    <w:p>
      <w:pPr>
        <w:pStyle w:val="BodyText"/>
        <w:spacing w:line="480" w:lineRule="auto" w:before="1"/>
        <w:ind w:left="480" w:right="630" w:firstLine="720"/>
        <w:jc w:val="both"/>
      </w:pPr>
      <w:r>
        <w:rPr/>
        <w:t>En cuanto a la categorización del riesgo realizado al momento del diagnóstico, se</w:t>
      </w:r>
      <w:r>
        <w:rPr>
          <w:spacing w:val="1"/>
        </w:rPr>
        <w:t> </w:t>
      </w:r>
      <w:r>
        <w:rPr>
          <w:spacing w:val="-1"/>
        </w:rPr>
        <w:t>encontró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/>
        <w:t>el</w:t>
      </w:r>
      <w:r>
        <w:rPr>
          <w:spacing w:val="-9"/>
        </w:rPr>
        <w:t> </w:t>
      </w:r>
      <w:r>
        <w:rPr/>
        <w:t>80,53%</w:t>
      </w:r>
      <w:r>
        <w:rPr>
          <w:spacing w:val="-16"/>
        </w:rPr>
        <w:t> </w:t>
      </w:r>
      <w:r>
        <w:rPr/>
        <w:t>(n=91)</w:t>
      </w:r>
      <w:r>
        <w:rPr>
          <w:spacing w:val="-16"/>
        </w:rPr>
        <w:t> </w:t>
      </w:r>
      <w:r>
        <w:rPr/>
        <w:t>era</w:t>
      </w:r>
      <w:r>
        <w:rPr>
          <w:spacing w:val="-10"/>
        </w:rPr>
        <w:t> </w:t>
      </w:r>
      <w:r>
        <w:rPr/>
        <w:t>de</w:t>
      </w:r>
      <w:r>
        <w:rPr>
          <w:spacing w:val="-15"/>
        </w:rPr>
        <w:t> </w:t>
      </w:r>
      <w:r>
        <w:rPr/>
        <w:t>alto</w:t>
      </w:r>
      <w:r>
        <w:rPr>
          <w:spacing w:val="-17"/>
        </w:rPr>
        <w:t> </w:t>
      </w:r>
      <w:r>
        <w:rPr/>
        <w:t>riesgo,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8,85%</w:t>
      </w:r>
      <w:r>
        <w:rPr>
          <w:spacing w:val="-11"/>
        </w:rPr>
        <w:t> </w:t>
      </w:r>
      <w:r>
        <w:rPr/>
        <w:t>(n=10)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riesgo</w:t>
      </w:r>
      <w:r>
        <w:rPr>
          <w:spacing w:val="-17"/>
        </w:rPr>
        <w:t> </w:t>
      </w:r>
      <w:r>
        <w:rPr/>
        <w:t>estándar,</w:t>
      </w:r>
      <w:r>
        <w:rPr>
          <w:spacing w:val="-18"/>
        </w:rPr>
        <w:t> </w:t>
      </w:r>
      <w:r>
        <w:rPr/>
        <w:t>12,62%</w:t>
      </w:r>
      <w:r>
        <w:rPr>
          <w:spacing w:val="-57"/>
        </w:rPr>
        <w:t> </w:t>
      </w:r>
      <w:r>
        <w:rPr/>
        <w:t>(n=12) BCR/ABL positivo y no se encontraron datos en 13 pacientes.</w:t>
      </w:r>
      <w:r>
        <w:rPr>
          <w:spacing w:val="1"/>
        </w:rPr>
        <w:t> </w:t>
      </w:r>
      <w:r>
        <w:rPr/>
        <w:t>De las características</w:t>
      </w:r>
      <w:r>
        <w:rPr>
          <w:spacing w:val="-57"/>
        </w:rPr>
        <w:t> </w:t>
      </w:r>
      <w:r>
        <w:rPr/>
        <w:t>inmunofenotípicas se incluyeron en este estudio: la clasificación FAB (Franco-Americana-</w:t>
      </w:r>
      <w:r>
        <w:rPr>
          <w:spacing w:val="1"/>
        </w:rPr>
        <w:t> </w:t>
      </w:r>
      <w:r>
        <w:rPr/>
        <w:t>Británica), el inmunofenotipo, el cariotipo y la presencia de cromosoma filadelfia detectado</w:t>
      </w:r>
      <w:r>
        <w:rPr>
          <w:spacing w:val="-57"/>
        </w:rPr>
        <w:t> </w:t>
      </w:r>
      <w:r>
        <w:rPr/>
        <w:t>por</w:t>
      </w:r>
      <w:r>
        <w:rPr>
          <w:spacing w:val="-1"/>
        </w:rPr>
        <w:t> </w:t>
      </w:r>
      <w:r>
        <w:rPr/>
        <w:t>biología</w:t>
      </w:r>
      <w:r>
        <w:rPr>
          <w:spacing w:val="-3"/>
        </w:rPr>
        <w:t> </w:t>
      </w:r>
      <w:r>
        <w:rPr/>
        <w:t>molecular o FISH.</w:t>
      </w:r>
    </w:p>
    <w:p>
      <w:pPr>
        <w:pStyle w:val="BodyText"/>
        <w:spacing w:line="480" w:lineRule="auto" w:before="1"/>
        <w:ind w:left="480" w:right="637" w:firstLine="720"/>
        <w:jc w:val="both"/>
      </w:pPr>
      <w:r>
        <w:rPr/>
        <w:t>La mayoría de pacientes no reportaba clasificación FAB (n=80), y de los reportados</w:t>
      </w:r>
      <w:r>
        <w:rPr>
          <w:spacing w:val="1"/>
        </w:rPr>
        <w:t> </w:t>
      </w:r>
      <w:r>
        <w:rPr/>
        <w:t>la mayoría eran LAL2 58,33%.</w:t>
      </w:r>
      <w:r>
        <w:rPr>
          <w:spacing w:val="1"/>
        </w:rPr>
        <w:t> </w:t>
      </w:r>
      <w:r>
        <w:rPr/>
        <w:t>En cuanto al inmunofenotipo, la mayoría de los pacientes</w:t>
      </w:r>
      <w:r>
        <w:rPr>
          <w:spacing w:val="1"/>
        </w:rPr>
        <w:t> </w:t>
      </w:r>
      <w:r>
        <w:rPr/>
        <w:t>tenía características de la línea B (n=104) y al clasificar los subgrupos, se encontró que el</w:t>
      </w:r>
      <w:r>
        <w:rPr>
          <w:spacing w:val="1"/>
        </w:rPr>
        <w:t> </w:t>
      </w:r>
      <w:r>
        <w:rPr/>
        <w:t>54,72% eran Pre B, seguido por B común en el 32,08% de los pacientes, y no había dato en</w:t>
      </w:r>
      <w:r>
        <w:rPr>
          <w:spacing w:val="1"/>
        </w:rPr>
        <w:t> </w:t>
      </w:r>
      <w:r>
        <w:rPr/>
        <w:t>22 pacientes.</w:t>
      </w:r>
    </w:p>
    <w:p>
      <w:pPr>
        <w:pStyle w:val="BodyText"/>
        <w:spacing w:line="480" w:lineRule="auto" w:before="1"/>
        <w:ind w:left="480" w:right="634" w:firstLine="720"/>
        <w:jc w:val="both"/>
      </w:pPr>
      <w:r>
        <w:rPr/>
        <w:t>La</w:t>
      </w:r>
      <w:r>
        <w:rPr>
          <w:spacing w:val="-10"/>
        </w:rPr>
        <w:t> </w:t>
      </w:r>
      <w:r>
        <w:rPr/>
        <w:t>presencia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cromosoma</w:t>
      </w:r>
      <w:r>
        <w:rPr>
          <w:spacing w:val="-10"/>
        </w:rPr>
        <w:t> </w:t>
      </w:r>
      <w:r>
        <w:rPr/>
        <w:t>filadelfia</w:t>
      </w:r>
      <w:r>
        <w:rPr>
          <w:spacing w:val="-10"/>
        </w:rPr>
        <w:t> </w:t>
      </w:r>
      <w:r>
        <w:rPr/>
        <w:t>fue</w:t>
      </w:r>
      <w:r>
        <w:rPr>
          <w:spacing w:val="-13"/>
        </w:rPr>
        <w:t> </w:t>
      </w:r>
      <w:r>
        <w:rPr/>
        <w:t>positivo</w:t>
      </w:r>
      <w:r>
        <w:rPr>
          <w:spacing w:val="-10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2"/>
        </w:rPr>
        <w:t> </w:t>
      </w:r>
      <w:r>
        <w:rPr/>
        <w:t>11,82</w:t>
      </w:r>
      <w:r>
        <w:rPr>
          <w:spacing w:val="-11"/>
        </w:rPr>
        <w:t> </w:t>
      </w:r>
      <w:r>
        <w:rPr/>
        <w:t>(n=13)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pacientes</w:t>
      </w:r>
      <w:r>
        <w:rPr>
          <w:spacing w:val="-58"/>
        </w:rPr>
        <w:t> </w:t>
      </w:r>
      <w:r>
        <w:rPr/>
        <w:t>y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habían</w:t>
      </w:r>
      <w:r>
        <w:rPr>
          <w:spacing w:val="-7"/>
        </w:rPr>
        <w:t> </w:t>
      </w:r>
      <w:r>
        <w:rPr/>
        <w:t>datos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confirmaran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en</w:t>
      </w:r>
      <w:r>
        <w:rPr>
          <w:spacing w:val="-1"/>
        </w:rPr>
        <w:t> </w:t>
      </w:r>
      <w:r>
        <w:rPr/>
        <w:t>18</w:t>
      </w:r>
      <w:r>
        <w:rPr>
          <w:spacing w:val="-6"/>
        </w:rPr>
        <w:t> </w:t>
      </w:r>
      <w:r>
        <w:rPr/>
        <w:t>registros.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cariotipo</w:t>
      </w:r>
      <w:r>
        <w:rPr>
          <w:spacing w:val="-7"/>
        </w:rPr>
        <w:t> </w:t>
      </w:r>
      <w:r>
        <w:rPr/>
        <w:t>fue</w:t>
      </w:r>
      <w:r>
        <w:rPr>
          <w:spacing w:val="-4"/>
        </w:rPr>
        <w:t> </w:t>
      </w:r>
      <w:r>
        <w:rPr/>
        <w:t>anormal</w:t>
      </w:r>
      <w:r>
        <w:rPr>
          <w:spacing w:val="-9"/>
        </w:rPr>
        <w:t> </w:t>
      </w:r>
      <w:r>
        <w:rPr/>
        <w:t>en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10,94%</w:t>
      </w:r>
      <w:r>
        <w:rPr>
          <w:spacing w:val="-5"/>
        </w:rPr>
        <w:t> </w:t>
      </w:r>
      <w:r>
        <w:rPr/>
        <w:t>(n=14),</w:t>
      </w:r>
      <w:r>
        <w:rPr>
          <w:spacing w:val="-1"/>
        </w:rPr>
        <w:t> </w:t>
      </w:r>
      <w:r>
        <w:rPr/>
        <w:t>normal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23,44%</w:t>
      </w:r>
      <w:r>
        <w:rPr>
          <w:spacing w:val="-1"/>
        </w:rPr>
        <w:t> </w:t>
      </w:r>
      <w:r>
        <w:rPr/>
        <w:t>(n=30),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obtuvo</w:t>
      </w:r>
      <w:r>
        <w:rPr>
          <w:spacing w:val="-5"/>
        </w:rPr>
        <w:t> </w:t>
      </w:r>
      <w:r>
        <w:rPr/>
        <w:t>crecimiento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19,53%</w:t>
      </w:r>
      <w:r>
        <w:rPr>
          <w:spacing w:val="-5"/>
        </w:rPr>
        <w:t> </w:t>
      </w:r>
      <w:r>
        <w:rPr/>
        <w:t>(n=25)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no había</w:t>
      </w:r>
      <w:r>
        <w:rPr>
          <w:spacing w:val="1"/>
        </w:rPr>
        <w:t> </w:t>
      </w:r>
      <w:r>
        <w:rPr/>
        <w:t>información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46,09% (n=59) 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pacientes.</w:t>
      </w:r>
    </w:p>
    <w:p>
      <w:pPr>
        <w:pStyle w:val="BodyText"/>
        <w:spacing w:line="480" w:lineRule="auto" w:before="1"/>
        <w:ind w:left="480" w:right="638" w:firstLine="720"/>
        <w:jc w:val="both"/>
      </w:pPr>
      <w:r>
        <w:rPr/>
        <w:t>Del tratamiento recibido, se encontró que un mayor porcentaje de los pacientes</w:t>
      </w:r>
      <w:r>
        <w:rPr>
          <w:spacing w:val="1"/>
        </w:rPr>
        <w:t> </w:t>
      </w:r>
      <w:r>
        <w:rPr/>
        <w:t>(73,56%, n=88) recibió quimioterapia de acuerdo protocolo PETHEMA, y de estos el</w:t>
      </w:r>
      <w:r>
        <w:rPr>
          <w:spacing w:val="1"/>
        </w:rPr>
        <w:t> </w:t>
      </w:r>
      <w:r>
        <w:rPr/>
        <w:t>protocolo</w:t>
      </w:r>
      <w:r>
        <w:rPr>
          <w:spacing w:val="6"/>
        </w:rPr>
        <w:t> </w:t>
      </w:r>
      <w:r>
        <w:rPr/>
        <w:t>más</w:t>
      </w:r>
      <w:r>
        <w:rPr>
          <w:spacing w:val="10"/>
        </w:rPr>
        <w:t> </w:t>
      </w:r>
      <w:r>
        <w:rPr/>
        <w:t>común</w:t>
      </w:r>
      <w:r>
        <w:rPr>
          <w:spacing w:val="11"/>
        </w:rPr>
        <w:t> </w:t>
      </w:r>
      <w:r>
        <w:rPr/>
        <w:t>fue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alto</w:t>
      </w:r>
      <w:r>
        <w:rPr>
          <w:spacing w:val="7"/>
        </w:rPr>
        <w:t> </w:t>
      </w:r>
      <w:r>
        <w:rPr/>
        <w:t>riesgo</w:t>
      </w:r>
      <w:r>
        <w:rPr>
          <w:spacing w:val="11"/>
        </w:rPr>
        <w:t> </w:t>
      </w:r>
      <w:r>
        <w:rPr/>
        <w:t>(43,80%,</w:t>
      </w:r>
      <w:r>
        <w:rPr>
          <w:spacing w:val="11"/>
        </w:rPr>
        <w:t> </w:t>
      </w:r>
      <w:r>
        <w:rPr/>
        <w:t>n=</w:t>
      </w:r>
      <w:r>
        <w:rPr>
          <w:spacing w:val="11"/>
        </w:rPr>
        <w:t> </w:t>
      </w:r>
      <w:r>
        <w:rPr/>
        <w:t>53).</w:t>
      </w:r>
      <w:r>
        <w:rPr>
          <w:spacing w:val="8"/>
        </w:rPr>
        <w:t> </w:t>
      </w:r>
      <w:r>
        <w:rPr/>
        <w:t>El</w:t>
      </w:r>
      <w:r>
        <w:rPr>
          <w:spacing w:val="12"/>
        </w:rPr>
        <w:t> </w:t>
      </w:r>
      <w:r>
        <w:rPr/>
        <w:t>segundo</w:t>
      </w:r>
      <w:r>
        <w:rPr>
          <w:spacing w:val="7"/>
        </w:rPr>
        <w:t> </w:t>
      </w:r>
      <w:r>
        <w:rPr/>
        <w:t>protocolo</w:t>
      </w:r>
      <w:r>
        <w:rPr>
          <w:spacing w:val="6"/>
        </w:rPr>
        <w:t> </w:t>
      </w:r>
      <w:r>
        <w:rPr/>
        <w:t>recibido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0"/>
      </w:pP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más</w:t>
      </w:r>
      <w:r>
        <w:rPr>
          <w:spacing w:val="-14"/>
        </w:rPr>
        <w:t> </w:t>
      </w:r>
      <w:r>
        <w:rPr>
          <w:spacing w:val="-1"/>
        </w:rPr>
        <w:t>frecuencia</w:t>
      </w:r>
      <w:r>
        <w:rPr>
          <w:spacing w:val="-11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/>
        <w:t>Hyper-CVAD</w:t>
      </w:r>
      <w:r>
        <w:rPr>
          <w:spacing w:val="-14"/>
        </w:rPr>
        <w:t> </w:t>
      </w:r>
      <w:r>
        <w:rPr/>
        <w:t>(8,26%,</w:t>
      </w:r>
      <w:r>
        <w:rPr>
          <w:spacing w:val="-12"/>
        </w:rPr>
        <w:t> </w:t>
      </w:r>
      <w:r>
        <w:rPr/>
        <w:t>n=10)</w:t>
      </w:r>
      <w:r>
        <w:rPr>
          <w:b/>
        </w:rPr>
        <w:t>,</w:t>
      </w:r>
      <w:r>
        <w:rPr>
          <w:b/>
          <w:spacing w:val="-12"/>
        </w:rPr>
        <w:t> </w:t>
      </w:r>
      <w:r>
        <w:rPr/>
        <w:t>tanto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2"/>
        </w:rPr>
        <w:t> </w:t>
      </w:r>
      <w:r>
        <w:rPr/>
        <w:t>como</w:t>
      </w:r>
      <w:r>
        <w:rPr>
          <w:spacing w:val="-57"/>
        </w:rPr>
        <w:t> </w:t>
      </w:r>
      <w:r>
        <w:rPr/>
        <w:t>al compararlo por cuatrienios.</w:t>
      </w:r>
      <w:r>
        <w:rPr>
          <w:spacing w:val="5"/>
        </w:rPr>
        <w:t> </w:t>
      </w:r>
      <w:r>
        <w:rPr/>
        <w:t>(Tabla</w:t>
      </w:r>
      <w:r>
        <w:rPr>
          <w:spacing w:val="1"/>
        </w:rPr>
        <w:t> </w:t>
      </w:r>
      <w:r>
        <w:rPr/>
        <w:t>4).</w:t>
      </w:r>
    </w:p>
    <w:p>
      <w:pPr>
        <w:pStyle w:val="BodyText"/>
        <w:rPr>
          <w:sz w:val="26"/>
        </w:rPr>
      </w:pPr>
    </w:p>
    <w:p>
      <w:pPr>
        <w:spacing w:before="178"/>
        <w:ind w:left="480" w:right="0" w:firstLine="0"/>
        <w:jc w:val="left"/>
        <w:rPr>
          <w:i/>
          <w:sz w:val="24"/>
        </w:rPr>
      </w:pPr>
      <w:bookmarkStart w:name="_bookmark27" w:id="49"/>
      <w:bookmarkEnd w:id="49"/>
      <w:r>
        <w:rPr/>
      </w:r>
      <w:r>
        <w:rPr>
          <w:i/>
          <w:color w:val="44536A"/>
          <w:sz w:val="24"/>
        </w:rPr>
        <w:t>Tabla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4.</w:t>
      </w:r>
    </w:p>
    <w:p>
      <w:pPr>
        <w:spacing w:before="200"/>
        <w:ind w:left="480" w:right="808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Antecedentes clínicos, funcionalidad y características inmunofenotípicas presentes al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diagnóstico en pacientes con leucemia linfoblástica aguda en el periodo 2013 – 2020 y su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comparación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por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cuatrienios.</w:t>
      </w:r>
    </w:p>
    <w:p>
      <w:pPr>
        <w:pStyle w:val="BodyText"/>
        <w:spacing w:before="4" w:after="1"/>
        <w:rPr>
          <w:i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1276"/>
        <w:gridCol w:w="1984"/>
        <w:gridCol w:w="1984"/>
        <w:gridCol w:w="992"/>
      </w:tblGrid>
      <w:tr>
        <w:trPr>
          <w:trHeight w:val="830" w:hRule="atLeast"/>
        </w:trPr>
        <w:tc>
          <w:tcPr>
            <w:tcW w:w="3117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Característica,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before="136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(n=128)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5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cuatrienio</w:t>
            </w:r>
          </w:p>
          <w:p>
            <w:pPr>
              <w:pStyle w:val="TableParagraph"/>
              <w:spacing w:before="136"/>
              <w:ind w:left="52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(n=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68)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5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Segundo</w:t>
            </w:r>
          </w:p>
          <w:p>
            <w:pPr>
              <w:pStyle w:val="TableParagraph"/>
              <w:spacing w:before="136"/>
              <w:ind w:left="5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cuatrienio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(n=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60)</w:t>
            </w:r>
          </w:p>
        </w:tc>
        <w:tc>
          <w:tcPr>
            <w:tcW w:w="992" w:type="dxa"/>
          </w:tcPr>
          <w:p>
            <w:pPr>
              <w:pStyle w:val="TableParagraph"/>
              <w:spacing w:before="21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</w:tr>
      <w:tr>
        <w:trPr>
          <w:trHeight w:val="414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ECOG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93 (72,66)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40 (58,82)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53 (88,33)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spacing w:before="156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0,003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 (21,09)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 (30,88)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 (10)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(3,91)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(7,35)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 (1,56)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(1,47)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(1,67)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(0,78)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(1,47)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IMC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 (9,09)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 (9,68)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 (8,11)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31"/>
              <w:ind w:left="132"/>
              <w:rPr>
                <w:sz w:val="24"/>
              </w:rPr>
            </w:pPr>
            <w:r>
              <w:rPr>
                <w:sz w:val="24"/>
              </w:rPr>
              <w:t>0,0939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42 (42,42)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 (43,55)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 (40,54)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Sobrepeso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 (26,26)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 (24,19)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 (29,73)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Obesidad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 (22,22)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 (22,58)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(21,62)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Visceromegalias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diagnóstico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Hepatomegalia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 (12,09)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(8,62)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 (18,18)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6"/>
              <w:ind w:left="0"/>
              <w:rPr>
                <w:i/>
                <w:sz w:val="38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0,112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Esplenomegalia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 (30,77)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 (25,86)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 (39,39)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Hepato-esplenomegalia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 (9,89)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(13,79)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(3,03)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visceromegalias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43 (47,25)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 (51,72)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 (39,39)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riesgo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Alto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riesgo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91 (80,53)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55 (82,09)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36 (75)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19"/>
              <w:ind w:left="132"/>
              <w:rPr>
                <w:sz w:val="24"/>
              </w:rPr>
            </w:pPr>
            <w:r>
              <w:rPr>
                <w:sz w:val="24"/>
              </w:rPr>
              <w:t>0,166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Riesgo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estándar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 (8,85)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(11,94)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 (8,33)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BCR/ABL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 (12,62)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 (5,97)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(16,67)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FAB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4"/>
        <w:rPr>
          <w:i/>
          <w:sz w:val="8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1276"/>
        <w:gridCol w:w="1984"/>
        <w:gridCol w:w="1984"/>
        <w:gridCol w:w="992"/>
      </w:tblGrid>
      <w:tr>
        <w:trPr>
          <w:trHeight w:val="415" w:hRule="atLeast"/>
        </w:trPr>
        <w:tc>
          <w:tcPr>
            <w:tcW w:w="3117" w:type="dxa"/>
            <w:tcBorders>
              <w:top w:val="nil"/>
            </w:tcBorders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LAL1</w:t>
            </w:r>
          </w:p>
        </w:tc>
        <w:tc>
          <w:tcPr>
            <w:tcW w:w="127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 (39,58)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 (50)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 (27,27)</w:t>
            </w:r>
          </w:p>
        </w:tc>
        <w:tc>
          <w:tcPr>
            <w:tcW w:w="992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20"/>
              <w:ind w:left="132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LAL2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 (58,33)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 (46,15)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 (72,73)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LAL3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(2,08)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(3,85)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Inmunofenotipo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especificado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B común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 (32,08)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 (35,48)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 (27,27)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spacing w:before="156"/>
              <w:ind w:left="132"/>
              <w:rPr>
                <w:sz w:val="24"/>
              </w:rPr>
            </w:pPr>
            <w:r>
              <w:rPr>
                <w:sz w:val="24"/>
              </w:rPr>
              <w:t>0,751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Pre b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58 (54,72)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31 (50)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 (61,3)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(7,55)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(8,06)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 (6,82)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Pre T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(4,72)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 (4,84)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 (4,55)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(0,94)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(1,61)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BCR/ABL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Negativo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97 (88,18)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60 (92,31)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37 (82,22)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8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0,107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Positivo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 (11,82)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(7,69)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(17,78)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Protocolo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quimioterapia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recibido,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Pethema AR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53 (43,80)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40 (59,79)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 (24,07)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&lt;0,01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Pethema RI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 (11,57)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 (14,93)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 (7,41)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Pethema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PH+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 (5,79)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 (4,48)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 (7,41)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PethemaOldPh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 (9,09)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(1,49)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 (18,52)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PethemaOldpH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 (3,31)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 (7,41)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Hyper-CVAD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 (8,26)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(7,46)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(9,26)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GMALL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 (4,96)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 (4,48)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 (5,56)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tratamiento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(0,83)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 (1,49)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BFM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(4,13)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 (9,26)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Paliativo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 (1,65)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 (2,99)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 (0)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Otros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 (6,62)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 (2,99)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 (11,11)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9353" w:type="dxa"/>
            <w:gridSpan w:val="5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Trasplante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progenitores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hematopoyéticos</w:t>
            </w:r>
          </w:p>
        </w:tc>
      </w:tr>
      <w:tr>
        <w:trPr>
          <w:trHeight w:val="830" w:hRule="atLeast"/>
        </w:trPr>
        <w:tc>
          <w:tcPr>
            <w:tcW w:w="3117" w:type="dxa"/>
          </w:tcPr>
          <w:p>
            <w:pPr>
              <w:pStyle w:val="TableParagraph"/>
              <w:spacing w:line="27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Recibieron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trasplante</w:t>
            </w:r>
          </w:p>
          <w:p>
            <w:pPr>
              <w:pStyle w:val="TableParagraph"/>
              <w:spacing w:before="140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(n=123)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41 (33,33)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26 (38,24)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 (27,27%)</w:t>
            </w:r>
          </w:p>
        </w:tc>
        <w:tc>
          <w:tcPr>
            <w:tcW w:w="992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BodyText"/>
        <w:spacing w:line="480" w:lineRule="auto" w:before="90"/>
        <w:ind w:left="480" w:right="648" w:firstLine="720"/>
      </w:pPr>
      <w:r>
        <w:rPr/>
        <w:t>Las</w:t>
      </w:r>
      <w:r>
        <w:rPr>
          <w:spacing w:val="14"/>
        </w:rPr>
        <w:t> </w:t>
      </w:r>
      <w:r>
        <w:rPr/>
        <w:t>Características</w:t>
      </w:r>
      <w:r>
        <w:rPr>
          <w:spacing w:val="14"/>
        </w:rPr>
        <w:t> </w:t>
      </w:r>
      <w:r>
        <w:rPr/>
        <w:t>paraclínicas</w:t>
      </w:r>
      <w:r>
        <w:rPr>
          <w:spacing w:val="14"/>
        </w:rPr>
        <w:t> </w:t>
      </w:r>
      <w:r>
        <w:rPr/>
        <w:t>presentes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/>
        <w:t>diagnóstico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distribución</w:t>
      </w:r>
      <w:r>
        <w:rPr>
          <w:spacing w:val="15"/>
        </w:rPr>
        <w:t> </w:t>
      </w:r>
      <w:r>
        <w:rPr/>
        <w:t>por</w:t>
      </w:r>
      <w:r>
        <w:rPr>
          <w:spacing w:val="-57"/>
        </w:rPr>
        <w:t> </w:t>
      </w:r>
      <w:r>
        <w:rPr/>
        <w:t>cuatrienios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especificadas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 tabla</w:t>
      </w:r>
      <w:r>
        <w:rPr>
          <w:spacing w:val="10"/>
        </w:rPr>
        <w:t> </w:t>
      </w:r>
      <w:r>
        <w:rPr/>
        <w:t>5.</w:t>
      </w:r>
    </w:p>
    <w:p>
      <w:pPr>
        <w:spacing w:after="0" w:line="480" w:lineRule="auto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90"/>
        <w:ind w:left="480" w:right="0" w:firstLine="0"/>
        <w:jc w:val="left"/>
        <w:rPr>
          <w:i/>
          <w:sz w:val="24"/>
        </w:rPr>
      </w:pPr>
      <w:bookmarkStart w:name="_bookmark28" w:id="50"/>
      <w:bookmarkEnd w:id="50"/>
      <w:r>
        <w:rPr/>
      </w:r>
      <w:r>
        <w:rPr>
          <w:i/>
          <w:color w:val="44536A"/>
          <w:sz w:val="24"/>
        </w:rPr>
        <w:t>Tabla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5.</w:t>
      </w:r>
    </w:p>
    <w:p>
      <w:pPr>
        <w:spacing w:before="200"/>
        <w:ind w:left="480" w:right="648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Características paraclínicas presentes al diagnóstico y su distribución por cuatrienios de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los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pacientes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con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leucemia</w:t>
      </w:r>
      <w:r>
        <w:rPr>
          <w:i/>
          <w:color w:val="44536A"/>
          <w:spacing w:val="-7"/>
          <w:sz w:val="24"/>
        </w:rPr>
        <w:t> </w:t>
      </w:r>
      <w:r>
        <w:rPr>
          <w:i/>
          <w:color w:val="44536A"/>
          <w:sz w:val="24"/>
        </w:rPr>
        <w:t>linfoblástica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aguda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atendidos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la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FOSCAL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el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periodo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2013</w:t>
      </w:r>
    </w:p>
    <w:p>
      <w:pPr>
        <w:spacing w:before="1"/>
        <w:ind w:left="480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- 2020.</w:t>
      </w:r>
    </w:p>
    <w:p>
      <w:pPr>
        <w:pStyle w:val="BodyText"/>
        <w:spacing w:before="4" w:after="1"/>
        <w:rPr>
          <w:i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268"/>
        <w:gridCol w:w="2268"/>
        <w:gridCol w:w="852"/>
      </w:tblGrid>
      <w:tr>
        <w:trPr>
          <w:trHeight w:val="347" w:hRule="atLeast"/>
        </w:trPr>
        <w:tc>
          <w:tcPr>
            <w:tcW w:w="3965" w:type="dxa"/>
            <w:vMerge w:val="restart"/>
            <w:shd w:val="clear" w:color="auto" w:fill="D0CECE"/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cuatrienio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Segundo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cuatrienio</w:t>
            </w:r>
          </w:p>
        </w:tc>
        <w:tc>
          <w:tcPr>
            <w:tcW w:w="852" w:type="dxa"/>
            <w:vMerge w:val="restart"/>
            <w:shd w:val="clear" w:color="auto" w:fill="D0CECE"/>
          </w:tcPr>
          <w:p>
            <w:pPr>
              <w:pStyle w:val="TableParagraph"/>
              <w:spacing w:before="3"/>
              <w:ind w:left="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</w:tr>
      <w:tr>
        <w:trPr>
          <w:trHeight w:val="472" w:hRule="atLeast"/>
        </w:trPr>
        <w:tc>
          <w:tcPr>
            <w:tcW w:w="3965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D0CECE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sz w:val="24"/>
              </w:rPr>
              <w:t>Mediana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(RIQ)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D0CECE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sz w:val="24"/>
              </w:rPr>
              <w:t>Mediana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(RIQ)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Blastos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médula ósea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81 (66.5-90-5)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(56-91)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0,890</w:t>
            </w:r>
          </w:p>
        </w:tc>
      </w:tr>
      <w:tr>
        <w:trPr>
          <w:trHeight w:val="413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Blastos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sangre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periférica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11.5 (0-72)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 (0-61)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0,906</w:t>
            </w: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Hemoglobina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 (7,6-10,8)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9.2 (7.1-10.3)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0,649</w:t>
            </w: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Leucocitos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10145 (2580-29660)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35000 (7500-95700)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</w:tr>
      <w:tr>
        <w:trPr>
          <w:trHeight w:val="413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Neutrófilos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absolutos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1029 (399-3408)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1548 (410-4980)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0,735</w:t>
            </w: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Linfocitos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(1555-5840)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5459 (2707-17300)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</w:tr>
      <w:tr>
        <w:trPr>
          <w:trHeight w:val="413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Plaquetas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47000 (22000-85000)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45000 (29000-73000)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0,816</w:t>
            </w: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LDH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467.5 (303-962)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703 (381-1156)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ALT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44 (24-68.5)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30.5 (22-59)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0,310</w:t>
            </w:r>
          </w:p>
        </w:tc>
      </w:tr>
      <w:tr>
        <w:trPr>
          <w:trHeight w:val="413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AST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26.5 (18-47)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(22-70)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>
        <w:trPr>
          <w:trHeight w:val="414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Glicemia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122.5 (101-146)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112 (103-132)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0,629</w:t>
            </w:r>
          </w:p>
        </w:tc>
      </w:tr>
      <w:tr>
        <w:trPr>
          <w:trHeight w:val="826" w:hRule="atLeast"/>
        </w:trPr>
        <w:tc>
          <w:tcPr>
            <w:tcW w:w="3965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Fracción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eyección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ventrículo</w:t>
            </w:r>
          </w:p>
          <w:p>
            <w:pPr>
              <w:pStyle w:val="TableParagraph"/>
              <w:spacing w:before="140"/>
              <w:ind w:left="70"/>
              <w:rPr>
                <w:sz w:val="24"/>
              </w:rPr>
            </w:pPr>
            <w:r>
              <w:rPr>
                <w:sz w:val="24"/>
              </w:rPr>
              <w:t>izquierdo (%)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 (54-63)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(55-62)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0,730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BodyText"/>
        <w:spacing w:line="480" w:lineRule="auto" w:before="1"/>
        <w:ind w:left="480" w:right="635" w:firstLine="720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incluidos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seguimiento. A los 12 meses, la proporción de pacientes vivos fue del 65,63% (n=84) en los</w:t>
      </w:r>
      <w:r>
        <w:rPr>
          <w:spacing w:val="-57"/>
        </w:rPr>
        <w:t> </w:t>
      </w:r>
      <w:r>
        <w:rPr/>
        <w:t>dos</w:t>
      </w:r>
      <w:r>
        <w:rPr>
          <w:spacing w:val="1"/>
        </w:rPr>
        <w:t> </w:t>
      </w:r>
      <w:r>
        <w:rPr/>
        <w:t>cuatrienios,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mortalidad</w:t>
      </w:r>
      <w:r>
        <w:rPr>
          <w:spacing w:val="1"/>
        </w:rPr>
        <w:t> </w:t>
      </w:r>
      <w:r>
        <w:rPr/>
        <w:t>estimada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34,38%</w:t>
      </w:r>
      <w:r>
        <w:rPr>
          <w:spacing w:val="1"/>
        </w:rPr>
        <w:t> </w:t>
      </w:r>
      <w:r>
        <w:rPr/>
        <w:t>(n=44).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discriminar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proporción de pacientes por periodos, el porcentaje de fallecidos para el primer cuatrienio</w:t>
      </w:r>
      <w:r>
        <w:rPr>
          <w:spacing w:val="1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>
          <w:spacing w:val="-1"/>
        </w:rPr>
        <w:t>mayor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comparación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(39,71%,</w:t>
      </w:r>
      <w:r>
        <w:rPr>
          <w:spacing w:val="-12"/>
        </w:rPr>
        <w:t> </w:t>
      </w:r>
      <w:r>
        <w:rPr/>
        <w:t>vs</w:t>
      </w:r>
      <w:r>
        <w:rPr>
          <w:spacing w:val="-14"/>
        </w:rPr>
        <w:t> </w:t>
      </w:r>
      <w:r>
        <w:rPr/>
        <w:t>28,33,</w:t>
      </w:r>
      <w:r>
        <w:rPr>
          <w:spacing w:val="-12"/>
        </w:rPr>
        <w:t> </w:t>
      </w:r>
      <w:r>
        <w:rPr/>
        <w:t>p=0,196)</w:t>
      </w:r>
      <w:r>
        <w:rPr>
          <w:spacing w:val="-12"/>
        </w:rPr>
        <w:t> </w:t>
      </w:r>
      <w:r>
        <w:rPr/>
        <w:t>(28,33%,</w:t>
      </w:r>
      <w:r>
        <w:rPr>
          <w:spacing w:val="-12"/>
        </w:rPr>
        <w:t> </w:t>
      </w:r>
      <w:r>
        <w:rPr/>
        <w:t>n=17).</w:t>
      </w:r>
      <w:r>
        <w:rPr>
          <w:spacing w:val="-12"/>
        </w:rPr>
        <w:t> </w:t>
      </w:r>
      <w:r>
        <w:rPr/>
        <w:t>Para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residual,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cuatrienio</w:t>
      </w:r>
      <w:r>
        <w:rPr>
          <w:spacing w:val="1"/>
        </w:rPr>
        <w:t> </w:t>
      </w:r>
      <w:r>
        <w:rPr/>
        <w:t>alcanzaban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más</w:t>
      </w:r>
      <w:r>
        <w:rPr>
          <w:spacing w:val="44"/>
        </w:rPr>
        <w:t> </w:t>
      </w:r>
      <w:r>
        <w:rPr/>
        <w:t>frecuencia</w:t>
      </w:r>
      <w:r>
        <w:rPr>
          <w:spacing w:val="47"/>
        </w:rPr>
        <w:t> </w:t>
      </w:r>
      <w:r>
        <w:rPr/>
        <w:t>respuesta</w:t>
      </w:r>
      <w:r>
        <w:rPr>
          <w:spacing w:val="46"/>
        </w:rPr>
        <w:t> </w:t>
      </w:r>
      <w:r>
        <w:rPr/>
        <w:t>completa</w:t>
      </w:r>
      <w:r>
        <w:rPr>
          <w:spacing w:val="47"/>
        </w:rPr>
        <w:t> </w:t>
      </w:r>
      <w:r>
        <w:rPr/>
        <w:t>con</w:t>
      </w:r>
      <w:r>
        <w:rPr>
          <w:spacing w:val="46"/>
        </w:rPr>
        <w:t> </w:t>
      </w:r>
      <w:r>
        <w:rPr/>
        <w:t>EMR</w:t>
      </w:r>
      <w:r>
        <w:rPr>
          <w:spacing w:val="45"/>
        </w:rPr>
        <w:t> </w:t>
      </w:r>
      <w:r>
        <w:rPr/>
        <w:t>negativa</w:t>
      </w:r>
      <w:r>
        <w:rPr>
          <w:spacing w:val="47"/>
        </w:rPr>
        <w:t> </w:t>
      </w:r>
      <w:r>
        <w:rPr/>
        <w:t>vs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pacientes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9"/>
        <w:jc w:val="both"/>
      </w:pPr>
      <w:r>
        <w:rPr/>
        <w:t>pertenecientes al segundo cuatrienio (48,28% vs 45,5% respectivamente, p=0,962). A 12</w:t>
      </w:r>
      <w:r>
        <w:rPr>
          <w:spacing w:val="1"/>
        </w:rPr>
        <w:t> </w:t>
      </w:r>
      <w:r>
        <w:rPr/>
        <w:t>meses, se observó un mayor número de pacientes que recaían en el primer cuatrienio vs el</w:t>
      </w:r>
      <w:r>
        <w:rPr>
          <w:spacing w:val="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(10,45% vs</w:t>
      </w:r>
      <w:r>
        <w:rPr>
          <w:spacing w:val="-2"/>
        </w:rPr>
        <w:t> </w:t>
      </w:r>
      <w:r>
        <w:rPr/>
        <w:t>5,17%, p= 0,337) (Tabla</w:t>
      </w:r>
      <w:r>
        <w:rPr>
          <w:spacing w:val="1"/>
        </w:rPr>
        <w:t> </w:t>
      </w:r>
      <w:r>
        <w:rPr/>
        <w:t>6).</w:t>
      </w:r>
    </w:p>
    <w:p>
      <w:pPr>
        <w:pStyle w:val="BodyText"/>
        <w:rPr>
          <w:sz w:val="26"/>
        </w:rPr>
      </w:pPr>
    </w:p>
    <w:p>
      <w:pPr>
        <w:spacing w:before="178"/>
        <w:ind w:left="480" w:right="0" w:firstLine="0"/>
        <w:jc w:val="both"/>
        <w:rPr>
          <w:i/>
          <w:sz w:val="24"/>
        </w:rPr>
      </w:pPr>
      <w:bookmarkStart w:name="_bookmark29" w:id="51"/>
      <w:bookmarkEnd w:id="51"/>
      <w:r>
        <w:rPr/>
      </w:r>
      <w:r>
        <w:rPr>
          <w:i/>
          <w:color w:val="44536A"/>
          <w:sz w:val="24"/>
        </w:rPr>
        <w:t>Tabla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6.</w:t>
      </w:r>
    </w:p>
    <w:p>
      <w:pPr>
        <w:spacing w:before="200"/>
        <w:ind w:left="480" w:right="1476" w:firstLine="0"/>
        <w:jc w:val="both"/>
        <w:rPr>
          <w:i/>
          <w:sz w:val="24"/>
        </w:rPr>
      </w:pPr>
      <w:r>
        <w:rPr>
          <w:i/>
          <w:color w:val="44536A"/>
          <w:sz w:val="24"/>
        </w:rPr>
        <w:t>Respuesta,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Mortalidad,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recaída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y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sobrevida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libre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enfermedad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12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meses,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los</w:t>
      </w:r>
      <w:r>
        <w:rPr>
          <w:i/>
          <w:color w:val="44536A"/>
          <w:spacing w:val="-58"/>
          <w:sz w:val="24"/>
        </w:rPr>
        <w:t> </w:t>
      </w:r>
      <w:r>
        <w:rPr>
          <w:i/>
          <w:color w:val="44536A"/>
          <w:sz w:val="24"/>
        </w:rPr>
        <w:t>pacientes atendidos en la FOSCAL en el periodo 2013-2020 y su comparación por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cuatrienios.</w:t>
      </w:r>
    </w:p>
    <w:p>
      <w:pPr>
        <w:pStyle w:val="BodyText"/>
        <w:spacing w:before="4" w:after="1"/>
        <w:rPr>
          <w:i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1452"/>
        <w:gridCol w:w="1556"/>
        <w:gridCol w:w="1984"/>
        <w:gridCol w:w="852"/>
      </w:tblGrid>
      <w:tr>
        <w:trPr>
          <w:trHeight w:val="830" w:hRule="atLeast"/>
        </w:trPr>
        <w:tc>
          <w:tcPr>
            <w:tcW w:w="3509" w:type="dxa"/>
            <w:shd w:val="clear" w:color="auto" w:fill="D0CECE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Característica,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52" w:type="dxa"/>
            <w:shd w:val="clear" w:color="auto" w:fill="D0CECE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6" w:type="dxa"/>
            <w:shd w:val="clear" w:color="auto" w:fill="D0CECE"/>
          </w:tcPr>
          <w:p>
            <w:pPr>
              <w:pStyle w:val="TableParagraph"/>
              <w:spacing w:before="3"/>
              <w:ind w:left="231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</w:p>
          <w:p>
            <w:pPr>
              <w:pStyle w:val="TableParagraph"/>
              <w:spacing w:before="136"/>
              <w:ind w:left="236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cuatrienio</w:t>
            </w:r>
          </w:p>
        </w:tc>
        <w:tc>
          <w:tcPr>
            <w:tcW w:w="1984" w:type="dxa"/>
            <w:shd w:val="clear" w:color="auto" w:fill="D0CECE"/>
          </w:tcPr>
          <w:p>
            <w:pPr>
              <w:pStyle w:val="TableParagraph"/>
              <w:spacing w:before="3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Segundo</w:t>
            </w:r>
          </w:p>
          <w:p>
            <w:pPr>
              <w:pStyle w:val="TableParagraph"/>
              <w:spacing w:before="136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cuatrienio</w:t>
            </w:r>
          </w:p>
        </w:tc>
        <w:tc>
          <w:tcPr>
            <w:tcW w:w="852" w:type="dxa"/>
            <w:shd w:val="clear" w:color="auto" w:fill="D0CECE"/>
          </w:tcPr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3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6" w:hRule="atLeast"/>
        </w:trPr>
        <w:tc>
          <w:tcPr>
            <w:tcW w:w="3509" w:type="dxa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</w:p>
          <w:p>
            <w:pPr>
              <w:pStyle w:val="TableParagraph"/>
              <w:spacing w:before="140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inducción</w:t>
            </w:r>
          </w:p>
        </w:tc>
        <w:tc>
          <w:tcPr>
            <w:tcW w:w="1452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509" w:type="dxa"/>
          </w:tcPr>
          <w:p>
            <w:pPr>
              <w:pStyle w:val="TableParagraph"/>
              <w:spacing w:before="3"/>
              <w:ind w:left="310"/>
              <w:rPr>
                <w:sz w:val="24"/>
              </w:rPr>
            </w:pPr>
            <w:r>
              <w:rPr>
                <w:sz w:val="24"/>
              </w:rPr>
              <w:t>RC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 EMR &gt;0,01</w:t>
            </w:r>
          </w:p>
        </w:tc>
        <w:tc>
          <w:tcPr>
            <w:tcW w:w="1452" w:type="dxa"/>
          </w:tcPr>
          <w:p>
            <w:pPr>
              <w:pStyle w:val="TableParagraph"/>
              <w:spacing w:before="3"/>
              <w:ind w:left="51" w:right="100"/>
              <w:jc w:val="center"/>
              <w:rPr>
                <w:sz w:val="24"/>
              </w:rPr>
            </w:pPr>
            <w:r>
              <w:rPr>
                <w:sz w:val="24"/>
              </w:rPr>
              <w:t>35/98(35,71)</w:t>
            </w:r>
          </w:p>
        </w:tc>
        <w:tc>
          <w:tcPr>
            <w:tcW w:w="1556" w:type="dxa"/>
          </w:tcPr>
          <w:p>
            <w:pPr>
              <w:pStyle w:val="TableParagraph"/>
              <w:spacing w:before="3"/>
              <w:ind w:left="67"/>
              <w:rPr>
                <w:sz w:val="24"/>
              </w:rPr>
            </w:pPr>
            <w:r>
              <w:rPr>
                <w:sz w:val="24"/>
              </w:rPr>
              <w:t>20/58 (34,48)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15/40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(37,50)</w:t>
            </w:r>
          </w:p>
        </w:tc>
        <w:tc>
          <w:tcPr>
            <w:tcW w:w="852" w:type="dxa"/>
            <w:vMerge w:val="restart"/>
          </w:tcPr>
          <w:p>
            <w:pPr>
              <w:pStyle w:val="TableParagraph"/>
              <w:spacing w:before="9"/>
              <w:ind w:left="0"/>
              <w:rPr>
                <w:i/>
                <w:sz w:val="37"/>
              </w:rPr>
            </w:pPr>
          </w:p>
          <w:p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0,962</w:t>
            </w:r>
          </w:p>
        </w:tc>
      </w:tr>
      <w:tr>
        <w:trPr>
          <w:trHeight w:val="414" w:hRule="atLeast"/>
        </w:trPr>
        <w:tc>
          <w:tcPr>
            <w:tcW w:w="3509" w:type="dxa"/>
          </w:tcPr>
          <w:p>
            <w:pPr>
              <w:pStyle w:val="TableParagraph"/>
              <w:spacing w:before="3"/>
              <w:ind w:left="310"/>
              <w:rPr>
                <w:sz w:val="24"/>
              </w:rPr>
            </w:pPr>
            <w:r>
              <w:rPr>
                <w:sz w:val="24"/>
              </w:rPr>
              <w:t>RC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 EMR &lt;0,01</w:t>
            </w:r>
          </w:p>
        </w:tc>
        <w:tc>
          <w:tcPr>
            <w:tcW w:w="1452" w:type="dxa"/>
          </w:tcPr>
          <w:p>
            <w:pPr>
              <w:pStyle w:val="TableParagraph"/>
              <w:spacing w:before="3"/>
              <w:ind w:left="51" w:right="43"/>
              <w:jc w:val="center"/>
              <w:rPr>
                <w:sz w:val="24"/>
              </w:rPr>
            </w:pPr>
            <w:r>
              <w:rPr>
                <w:sz w:val="24"/>
              </w:rPr>
              <w:t>46/98 (46,94)</w:t>
            </w:r>
          </w:p>
        </w:tc>
        <w:tc>
          <w:tcPr>
            <w:tcW w:w="1556" w:type="dxa"/>
          </w:tcPr>
          <w:p>
            <w:pPr>
              <w:pStyle w:val="TableParagraph"/>
              <w:spacing w:before="3"/>
              <w:ind w:left="67"/>
              <w:rPr>
                <w:sz w:val="24"/>
              </w:rPr>
            </w:pPr>
            <w:r>
              <w:rPr>
                <w:sz w:val="24"/>
              </w:rPr>
              <w:t>28/58 (48,28)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18/40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(45,5)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509" w:type="dxa"/>
          </w:tcPr>
          <w:p>
            <w:pPr>
              <w:pStyle w:val="TableParagraph"/>
              <w:spacing w:before="3"/>
              <w:ind w:left="310"/>
              <w:rPr>
                <w:sz w:val="24"/>
              </w:rPr>
            </w:pPr>
            <w:r>
              <w:rPr>
                <w:sz w:val="24"/>
              </w:rPr>
              <w:t>Refractariedad</w:t>
            </w:r>
          </w:p>
        </w:tc>
        <w:tc>
          <w:tcPr>
            <w:tcW w:w="1452" w:type="dxa"/>
          </w:tcPr>
          <w:p>
            <w:pPr>
              <w:pStyle w:val="TableParagraph"/>
              <w:spacing w:before="3"/>
              <w:ind w:left="51" w:right="43"/>
              <w:jc w:val="center"/>
              <w:rPr>
                <w:sz w:val="24"/>
              </w:rPr>
            </w:pPr>
            <w:r>
              <w:rPr>
                <w:sz w:val="24"/>
              </w:rPr>
              <w:t>17/98 (17,35)</w:t>
            </w:r>
          </w:p>
        </w:tc>
        <w:tc>
          <w:tcPr>
            <w:tcW w:w="1556" w:type="dxa"/>
          </w:tcPr>
          <w:p>
            <w:pPr>
              <w:pStyle w:val="TableParagraph"/>
              <w:spacing w:before="3"/>
              <w:ind w:left="67"/>
              <w:rPr>
                <w:sz w:val="24"/>
              </w:rPr>
            </w:pPr>
            <w:r>
              <w:rPr>
                <w:sz w:val="24"/>
              </w:rPr>
              <w:t>10/58 (17,24)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7/40 (17,5)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3509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Mortalidad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12 meses</w:t>
            </w:r>
          </w:p>
        </w:tc>
        <w:tc>
          <w:tcPr>
            <w:tcW w:w="1452" w:type="dxa"/>
          </w:tcPr>
          <w:p>
            <w:pPr>
              <w:pStyle w:val="TableParagraph"/>
              <w:spacing w:before="3"/>
              <w:ind w:left="70"/>
              <w:rPr>
                <w:sz w:val="24"/>
              </w:rPr>
            </w:pPr>
            <w:r>
              <w:rPr>
                <w:sz w:val="24"/>
              </w:rPr>
              <w:t>44/128</w:t>
            </w:r>
          </w:p>
          <w:p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(34,38)</w:t>
            </w:r>
          </w:p>
        </w:tc>
        <w:tc>
          <w:tcPr>
            <w:tcW w:w="1556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27/68 (39,71)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17/60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(28,33)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0" w:right="54"/>
              <w:jc w:val="right"/>
              <w:rPr>
                <w:sz w:val="24"/>
              </w:rPr>
            </w:pPr>
            <w:r>
              <w:rPr>
                <w:sz w:val="24"/>
              </w:rPr>
              <w:t>0,196</w:t>
            </w:r>
          </w:p>
        </w:tc>
      </w:tr>
      <w:tr>
        <w:trPr>
          <w:trHeight w:val="414" w:hRule="atLeast"/>
        </w:trPr>
        <w:tc>
          <w:tcPr>
            <w:tcW w:w="3509" w:type="dxa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Recaída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12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meses</w:t>
            </w:r>
          </w:p>
        </w:tc>
        <w:tc>
          <w:tcPr>
            <w:tcW w:w="1452" w:type="dxa"/>
          </w:tcPr>
          <w:p>
            <w:pPr>
              <w:pStyle w:val="TableParagraph"/>
              <w:spacing w:line="275" w:lineRule="exact"/>
              <w:ind w:left="51" w:right="43"/>
              <w:jc w:val="center"/>
              <w:rPr>
                <w:sz w:val="24"/>
              </w:rPr>
            </w:pPr>
            <w:r>
              <w:rPr>
                <w:sz w:val="24"/>
              </w:rPr>
              <w:t>10/128 (8,00)</w:t>
            </w:r>
          </w:p>
        </w:tc>
        <w:tc>
          <w:tcPr>
            <w:tcW w:w="1556" w:type="dxa"/>
          </w:tcPr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7/68 (10,45)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3/60 (5,17)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0" w:right="54"/>
              <w:jc w:val="right"/>
              <w:rPr>
                <w:sz w:val="24"/>
              </w:rPr>
            </w:pPr>
            <w:r>
              <w:rPr>
                <w:sz w:val="24"/>
              </w:rPr>
              <w:t>0,337</w:t>
            </w:r>
          </w:p>
        </w:tc>
      </w:tr>
      <w:tr>
        <w:trPr>
          <w:trHeight w:val="825" w:hRule="atLeast"/>
        </w:trPr>
        <w:tc>
          <w:tcPr>
            <w:tcW w:w="3509" w:type="dxa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Sobrevida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libre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enfermedad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before="140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meses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52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51/56</w:t>
            </w:r>
          </w:p>
          <w:p>
            <w:pPr>
              <w:pStyle w:val="TableParagraph"/>
              <w:spacing w:before="140"/>
              <w:ind w:left="70"/>
              <w:rPr>
                <w:sz w:val="24"/>
              </w:rPr>
            </w:pPr>
            <w:r>
              <w:rPr>
                <w:sz w:val="24"/>
              </w:rPr>
              <w:t>(91,07)</w:t>
            </w:r>
          </w:p>
        </w:tc>
        <w:tc>
          <w:tcPr>
            <w:tcW w:w="1556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28/33 (84,85)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23/23 (100)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0"/>
              <w:rPr>
                <w:i/>
                <w:sz w:val="33"/>
              </w:rPr>
            </w:pPr>
          </w:p>
          <w:p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3"/>
        <w:ind w:left="480"/>
        <w:jc w:val="both"/>
      </w:pPr>
      <w:r>
        <w:rPr/>
        <w:t>*</w:t>
      </w:r>
      <w:r>
        <w:rPr>
          <w:spacing w:val="-2"/>
        </w:rPr>
        <w:t> </w:t>
      </w:r>
      <w:r>
        <w:rPr/>
        <w:t>se incluyen</w:t>
      </w:r>
      <w:r>
        <w:rPr>
          <w:spacing w:val="-1"/>
        </w:rPr>
        <w:t> </w:t>
      </w:r>
      <w:r>
        <w:rPr/>
        <w:t>56</w:t>
      </w:r>
      <w:r>
        <w:rPr>
          <w:spacing w:val="-2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respuesta</w:t>
      </w:r>
      <w:r>
        <w:rPr>
          <w:spacing w:val="-4"/>
        </w:rPr>
        <w:t> </w:t>
      </w:r>
      <w:r>
        <w:rPr/>
        <w:t>completa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vivos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12</w:t>
      </w:r>
      <w:r>
        <w:rPr>
          <w:spacing w:val="-1"/>
        </w:rPr>
        <w:t> </w:t>
      </w:r>
      <w:r>
        <w:rPr/>
        <w:t>meses.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480" w:right="637" w:firstLine="720"/>
        <w:jc w:val="both"/>
      </w:pPr>
      <w:r>
        <w:rPr/>
        <w:t>Al comparar por grupos se encontró que al pertenecer al segundo cuatrienio, existe</w:t>
      </w:r>
      <w:r>
        <w:rPr>
          <w:spacing w:val="1"/>
        </w:rPr>
        <w:t> </w:t>
      </w:r>
      <w:r>
        <w:rPr/>
        <w:t>más probabilidades de sobrevida a los 12 meses de seguimiento en comparación con el</w:t>
      </w:r>
      <w:r>
        <w:rPr>
          <w:spacing w:val="1"/>
        </w:rPr>
        <w:t> </w:t>
      </w:r>
      <w:r>
        <w:rPr/>
        <w:t>primero</w:t>
      </w:r>
      <w:r>
        <w:rPr>
          <w:spacing w:val="1"/>
        </w:rPr>
        <w:t> </w:t>
      </w:r>
      <w:r>
        <w:rPr/>
        <w:t>(HR</w:t>
      </w:r>
      <w:r>
        <w:rPr>
          <w:spacing w:val="1"/>
        </w:rPr>
        <w:t> </w:t>
      </w:r>
      <w:r>
        <w:rPr/>
        <w:t>1,5;</w:t>
      </w:r>
      <w:r>
        <w:rPr>
          <w:spacing w:val="1"/>
        </w:rPr>
        <w:t> </w:t>
      </w:r>
      <w:r>
        <w:rPr/>
        <w:t>IC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0,79-2,84,</w:t>
      </w:r>
      <w:r>
        <w:rPr>
          <w:spacing w:val="1"/>
        </w:rPr>
        <w:t> </w:t>
      </w:r>
      <w:r>
        <w:rPr/>
        <w:t>p=1,27),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hallazgos</w:t>
      </w:r>
      <w:r>
        <w:rPr>
          <w:spacing w:val="1"/>
        </w:rPr>
        <w:t> </w:t>
      </w:r>
      <w:r>
        <w:rPr/>
        <w:t>no fueron</w:t>
      </w:r>
      <w:r>
        <w:rPr>
          <w:spacing w:val="1"/>
        </w:rPr>
        <w:t> </w:t>
      </w:r>
      <w:r>
        <w:rPr/>
        <w:t>estadísticamente significativos</w:t>
      </w:r>
      <w:r>
        <w:rPr>
          <w:spacing w:val="-2"/>
        </w:rPr>
        <w:t> </w:t>
      </w:r>
      <w:r>
        <w:rPr/>
        <w:t>(Figura</w:t>
      </w:r>
      <w:r>
        <w:rPr>
          <w:spacing w:val="7"/>
        </w:rPr>
        <w:t> </w:t>
      </w:r>
      <w:r>
        <w:rPr/>
        <w:t>3,</w:t>
      </w:r>
      <w:r>
        <w:rPr>
          <w:spacing w:val="-1"/>
        </w:rPr>
        <w:t> </w:t>
      </w:r>
      <w:r>
        <w:rPr/>
        <w:t>tabla</w:t>
      </w:r>
      <w:r>
        <w:rPr>
          <w:spacing w:val="1"/>
        </w:rPr>
        <w:t> </w:t>
      </w:r>
      <w:r>
        <w:rPr/>
        <w:t>7).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99"/>
        <w:ind w:left="480" w:right="0" w:firstLine="0"/>
        <w:jc w:val="left"/>
        <w:rPr>
          <w:i/>
          <w:sz w:val="22"/>
        </w:rPr>
      </w:pPr>
      <w:bookmarkStart w:name="_bookmark30" w:id="52"/>
      <w:bookmarkEnd w:id="52"/>
      <w:r>
        <w:rPr/>
      </w:r>
      <w:r>
        <w:rPr>
          <w:i/>
          <w:color w:val="44536A"/>
          <w:sz w:val="22"/>
        </w:rPr>
        <w:t>Figura 3.</w:t>
      </w:r>
    </w:p>
    <w:p>
      <w:pPr>
        <w:spacing w:before="203"/>
        <w:ind w:left="480" w:right="648" w:firstLine="0"/>
        <w:jc w:val="left"/>
        <w:rPr>
          <w:i/>
          <w:sz w:val="22"/>
        </w:rPr>
      </w:pPr>
      <w:r>
        <w:rPr>
          <w:i/>
          <w:color w:val="44536A"/>
          <w:sz w:val="22"/>
        </w:rPr>
        <w:t>Comparación</w:t>
      </w:r>
      <w:r>
        <w:rPr>
          <w:i/>
          <w:color w:val="44536A"/>
          <w:spacing w:val="-6"/>
          <w:sz w:val="22"/>
        </w:rPr>
        <w:t> </w:t>
      </w:r>
      <w:r>
        <w:rPr>
          <w:i/>
          <w:color w:val="44536A"/>
          <w:sz w:val="22"/>
        </w:rPr>
        <w:t>de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sobrevida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al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año,</w:t>
      </w:r>
      <w:r>
        <w:rPr>
          <w:i/>
          <w:color w:val="44536A"/>
          <w:spacing w:val="-3"/>
          <w:sz w:val="22"/>
        </w:rPr>
        <w:t> </w:t>
      </w:r>
      <w:r>
        <w:rPr>
          <w:i/>
          <w:color w:val="44536A"/>
          <w:sz w:val="22"/>
        </w:rPr>
        <w:t>de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los</w:t>
      </w:r>
      <w:r>
        <w:rPr>
          <w:i/>
          <w:color w:val="44536A"/>
          <w:spacing w:val="-8"/>
          <w:sz w:val="22"/>
        </w:rPr>
        <w:t> </w:t>
      </w:r>
      <w:r>
        <w:rPr>
          <w:i/>
          <w:color w:val="44536A"/>
          <w:sz w:val="22"/>
        </w:rPr>
        <w:t>pacientes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atendidos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en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la</w:t>
      </w:r>
      <w:r>
        <w:rPr>
          <w:i/>
          <w:color w:val="44536A"/>
          <w:spacing w:val="-5"/>
          <w:sz w:val="22"/>
        </w:rPr>
        <w:t> </w:t>
      </w:r>
      <w:r>
        <w:rPr>
          <w:i/>
          <w:color w:val="44536A"/>
          <w:sz w:val="22"/>
        </w:rPr>
        <w:t>FOSCAL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con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diagnóstico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de</w:t>
      </w:r>
      <w:r>
        <w:rPr>
          <w:i/>
          <w:color w:val="44536A"/>
          <w:spacing w:val="-52"/>
          <w:sz w:val="22"/>
        </w:rPr>
        <w:t> </w:t>
      </w:r>
      <w:r>
        <w:rPr>
          <w:i/>
          <w:color w:val="44536A"/>
          <w:sz w:val="22"/>
        </w:rPr>
        <w:t>LLA,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en</w:t>
      </w:r>
      <w:r>
        <w:rPr>
          <w:i/>
          <w:color w:val="44536A"/>
          <w:spacing w:val="2"/>
          <w:sz w:val="22"/>
        </w:rPr>
        <w:t> </w:t>
      </w:r>
      <w:r>
        <w:rPr>
          <w:i/>
          <w:color w:val="44536A"/>
          <w:sz w:val="22"/>
        </w:rPr>
        <w:t>los</w:t>
      </w:r>
      <w:r>
        <w:rPr>
          <w:i/>
          <w:color w:val="44536A"/>
          <w:spacing w:val="-5"/>
          <w:sz w:val="22"/>
        </w:rPr>
        <w:t> </w:t>
      </w:r>
      <w:r>
        <w:rPr>
          <w:i/>
          <w:color w:val="44536A"/>
          <w:sz w:val="22"/>
        </w:rPr>
        <w:t>periodos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2013-2016</w:t>
      </w:r>
      <w:r>
        <w:rPr>
          <w:i/>
          <w:color w:val="44536A"/>
          <w:spacing w:val="2"/>
          <w:sz w:val="22"/>
        </w:rPr>
        <w:t> </w:t>
      </w:r>
      <w:r>
        <w:rPr>
          <w:i/>
          <w:color w:val="44536A"/>
          <w:sz w:val="22"/>
        </w:rPr>
        <w:t>a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2017-2020.</w:t>
      </w:r>
    </w:p>
    <w:p>
      <w:pPr>
        <w:pStyle w:val="BodyText"/>
        <w:spacing w:before="8"/>
        <w:rPr>
          <w:i/>
          <w:sz w:val="12"/>
        </w:rPr>
      </w:pPr>
      <w:r>
        <w:rPr/>
        <w:pict>
          <v:group style="position:absolute;margin-left:90.540298pt;margin-top:9.319571pt;width:430.9pt;height:313.350pt;mso-position-horizontal-relative:page;mso-position-vertical-relative:paragraph;z-index:-15726080;mso-wrap-distance-left:0;mso-wrap-distance-right:0" coordorigin="1811,186" coordsize="8618,6267">
            <v:rect style="position:absolute;left:1810;top:186;width:8618;height:6267" filled="true" fillcolor="#eaf1f3" stroked="false">
              <v:fill type="solid"/>
            </v:rect>
            <v:rect style="position:absolute;left:1817;top:192;width:8605;height:6254" filled="false" stroked="true" strokeweight=".626686pt" strokecolor="#eaf1f3">
              <v:stroke dashstyle="solid"/>
            </v:rect>
            <v:rect style="position:absolute;left:3352;top:785;width:6836;height:3696" filled="true" fillcolor="#ffffff" stroked="false">
              <v:fill type="solid"/>
            </v:rect>
            <v:rect style="position:absolute;left:3358;top:791;width:6823;height:3683" filled="false" stroked="true" strokeweight=".626681pt" strokecolor="#ffffff">
              <v:stroke dashstyle="solid"/>
            </v:rect>
            <v:shape style="position:absolute;left:3352;top:913;width:6836;height:2584" coordorigin="3353,914" coordsize="6836,2584" path="m10188,3479l3353,3479,3353,3498,10188,3498,10188,3479xm10188,2624l3353,2624,3353,2643,10188,2643,10188,2624xm10188,1769l3353,1769,3353,1788,10188,1788,10188,1769xm10188,914l3353,914,3353,933,10188,933,10188,914xe" filled="true" fillcolor="#eaf1f3" stroked="false">
              <v:path arrowok="t"/>
              <v:fill type="solid"/>
            </v:shape>
            <v:shape style="position:absolute;left:3490;top:914;width:1094;height:78" coordorigin="3490,914" coordsize="1094,78" path="m4583,973l4046,973,4046,924,4037,924,4037,914,3490,914,3490,933,4027,933,4027,982,4037,982,4037,992,4583,992,4583,973xe" filled="true" fillcolor="#1a466e" stroked="false">
              <v:path arrowok="t"/>
              <v:fill type="solid"/>
            </v:shape>
            <v:shape style="position:absolute;left:4583;top:982;width:5467;height:841" coordorigin="4583,982" coordsize="5467,841" path="m4583,982l4583,1041m4583,1041l5130,1041m5130,1041l5130,1218m5130,1218l5677,1218m5677,1218l5677,1277m5677,1277l6770,1277m6770,1277l6770,1395m6770,1395l7317,1395m7317,1395l7317,1395m7317,1395l7863,1395m7863,1395l7863,1455m7863,1455l8410,1455m8410,1455l8410,1636m8410,1636l8957,1636m8957,1636l8957,1697m8957,1697l9503,1697m9503,1697l9503,1823m9503,1823l10050,1823m10050,1823l10050,1823e" filled="false" stroked="true" strokeweight=".940032pt" strokecolor="#1a466e">
              <v:path arrowok="t"/>
              <v:stroke dashstyle="solid"/>
            </v:shape>
            <v:shape style="position:absolute;left:3490;top:914;width:1094;height:70" coordorigin="3490,914" coordsize="1094,70" path="m4583,965l4046,965,4046,924,4037,924,4037,914,3490,914,3490,933,4027,933,4027,975,4037,975,4037,984,4583,984,4583,965xe" filled="true" fillcolor="#90353a" stroked="false">
              <v:path arrowok="t"/>
              <v:fill type="solid"/>
            </v:shape>
            <v:shape style="position:absolute;left:4583;top:974;width:5467;height:1276" coordorigin="4583,974" coordsize="5467,1276" path="m4583,974l4583,1077m4583,1077l5130,1077m5130,1077l5130,1179m5130,1179l6224,1179m6224,1179l6224,1281m6224,1281l6770,1281m6770,1281l6770,1434m6770,1434l7317,1434m7317,1434l7317,1485m7317,1485l7863,1485m7863,1485l7863,1587m7863,1587l8410,1587m8410,1587l8410,1740m8410,1740l8957,1740m8957,1740l8957,1842m8957,1842l9503,1842m9503,1842l9503,2148m9503,2148l10050,2148m10050,2148l10050,2250e" filled="false" stroked="true" strokeweight=".940032pt" strokecolor="#90353a">
              <v:path arrowok="t"/>
              <v:stroke dashstyle="solid"/>
            </v:shape>
            <v:shape style="position:absolute;left:3265;top:785;width:87;height:3696" coordorigin="3266,786" coordsize="87,3696" path="m3353,4481l3353,786m3353,4343l3266,4343e" filled="false" stroked="true" strokeweight=".626692pt" strokecolor="#000000">
              <v:path arrowok="t"/>
              <v:stroke dashstyle="solid"/>
            </v:shape>
            <v:shape style="position:absolute;left:3018;top:4146;width:154;height:400" type="#_x0000_t75" stroked="false">
              <v:imagedata r:id="rId15" o:title=""/>
            </v:shape>
            <v:line style="position:absolute" from="3353,3488" to="3266,3488" stroked="true" strokeweight=".626672pt" strokecolor="#000000">
              <v:stroke dashstyle="solid"/>
            </v:line>
            <v:shape style="position:absolute;left:3018;top:3289;width:154;height:402" coordorigin="3019,3290" coordsize="154,402" path="m3096,3593l3081,3593,3069,3594,3052,3598,3044,3602,3032,3609,3027,3614,3021,3627,3019,3633,3019,3653,3022,3662,3028,3670,3034,3676,3042,3682,3053,3685,3062,3688,3072,3690,3083,3691,3096,3691,3116,3690,3132,3687,3146,3683,3157,3676,3162,3672,3096,3672,3079,3671,3065,3669,3053,3666,3045,3662,3038,3657,3034,3650,3034,3633,3038,3626,3047,3620,3054,3617,3065,3614,3079,3612,3096,3612,3162,3612,3158,3607,3150,3602,3139,3598,3130,3596,3120,3594,3109,3593,3096,3593xm3162,3612l3096,3612,3113,3612,3127,3614,3138,3617,3145,3620,3154,3626,3158,3633,3157,3650,3154,3657,3145,3663,3138,3667,3127,3670,3113,3671,3096,3672,3162,3672,3168,3668,3173,3656,3173,3631,3170,3622,3162,3612xm3170,3539l3149,3539,3149,3560,3170,3560,3170,3539xm3100,3432l3067,3432,3075,3435,3083,3441,3089,3446,3097,3453,3105,3463,3115,3474,3123,3484,3131,3493,3137,3498,3144,3504,3151,3508,3157,3510,3162,3512,3166,3513,3170,3512,3170,3487,3152,3487,3149,3485,3146,3482,3142,3479,3139,3476,3133,3469,3124,3458,3112,3444,3103,3435,3100,3432xm3067,3413l3049,3413,3039,3417,3031,3426,3023,3434,3019,3445,3019,3474,3023,3486,3038,3503,3048,3508,3063,3509,3065,3490,3055,3490,3048,3487,3042,3482,3037,3477,3034,3469,3034,3452,3037,3445,3047,3435,3053,3432,3100,3432,3091,3423,3084,3419,3079,3417,3073,3414,3067,3413xm3170,3413l3152,3413,3152,3487,3170,3487,3170,3413xm3162,3309l3132,3309,3141,3312,3154,3325,3157,3332,3158,3349,3155,3355,3146,3365,3139,3369,3129,3370,3131,3390,3143,3388,3154,3383,3169,3366,3173,3355,3173,3341,3172,3329,3168,3319,3163,3310,3162,3309xm3039,3297l3022,3297,3022,3372,3099,3386,3101,3369,3097,3366,3096,3365,3080,3365,3039,3357,3039,3297xm3133,3290l3105,3290,3093,3294,3084,3303,3075,3312,3070,3323,3070,3346,3074,3356,3080,3365,3096,3365,3093,3363,3091,3358,3088,3353,3087,3347,3087,3332,3090,3324,3096,3318,3102,3312,3110,3309,3162,3309,3155,3302,3145,3294,3133,3290xe" filled="true" fillcolor="#000000" stroked="false">
              <v:path arrowok="t"/>
              <v:fill type="solid"/>
            </v:shape>
            <v:line style="position:absolute" from="3353,2633" to="3266,2633" stroked="true" strokeweight=".626672pt" strokecolor="#000000">
              <v:stroke dashstyle="solid"/>
            </v:line>
            <v:shape style="position:absolute;left:3018;top:2436;width:154;height:400" type="#_x0000_t75" stroked="false">
              <v:imagedata r:id="rId16" o:title=""/>
            </v:shape>
            <v:line style="position:absolute" from="3353,1778" to="3266,1778" stroked="true" strokeweight=".626672pt" strokecolor="#000000">
              <v:stroke dashstyle="solid"/>
            </v:line>
            <v:shape style="position:absolute;left:3018;top:1579;width:154;height:402" coordorigin="3019,1580" coordsize="154,402" path="m3096,1883l3081,1883,3069,1884,3060,1886,3052,1888,3044,1892,3032,1900,3027,1905,3021,1917,3019,1924,3019,1943,3022,1952,3034,1966,3042,1972,3053,1976,3062,1978,3072,1980,3083,1981,3096,1981,3116,1980,3132,1977,3146,1973,3157,1966,3162,1962,3096,1962,3079,1961,3065,1960,3053,1957,3045,1952,3038,1947,3034,1941,3034,1924,3038,1916,3047,1910,3054,1907,3065,1904,3079,1903,3096,1902,3162,1902,3158,1897,3150,1892,3139,1888,3130,1886,3120,1884,3109,1883,3096,1883xm3162,1902l3096,1902,3113,1903,3127,1904,3138,1907,3145,1910,3154,1916,3158,1924,3157,1941,3154,1948,3145,1953,3138,1957,3127,1960,3113,1962,3096,1962,3162,1962,3168,1958,3173,1947,3173,1921,3170,1912,3162,1902xm3170,1829l3149,1829,3149,1850,3170,1850,3170,1829xm3036,1701l3022,1701,3022,1799,3039,1799,3039,1725,3068,1725,3065,1723,3054,1716,3044,1709,3036,1701xm3068,1725l3039,1725,3048,1732,3057,1739,3067,1745,3079,1752,3091,1758,3103,1763,3115,1767,3127,1771,3139,1774,3151,1776,3161,1778,3170,1778,3170,1759,3159,1758,3149,1757,3139,1755,3129,1752,3116,1748,3102,1743,3089,1737,3077,1730,3068,1725xm3162,1599l3132,1599,3141,1603,3154,1615,3157,1622,3158,1639,3155,1645,3146,1656,3139,1659,3129,1660,3131,1680,3143,1679,3154,1674,3169,1656,3173,1645,3173,1631,3172,1619,3168,1609,3163,1600,3162,1599xm3039,1587l3022,1587,3022,1662,3099,1676,3101,1659,3097,1656,3096,1655,3080,1655,3039,1647,3039,1587xm3133,1580l3105,1580,3093,1584,3084,1594,3075,1602,3070,1614,3070,1637,3074,1646,3080,1655,3096,1655,3093,1653,3088,1643,3087,1638,3087,1622,3090,1614,3096,1608,3102,1602,3110,1599,3162,1599,3155,1592,3145,1584,3133,1580xe" filled="true" fillcolor="#000000" stroked="false">
              <v:path arrowok="t"/>
              <v:fill type="solid"/>
            </v:shape>
            <v:line style="position:absolute" from="3353,923" to="3266,923" stroked="true" strokeweight=".626672pt" strokecolor="#000000">
              <v:stroke dashstyle="solid"/>
            </v:line>
            <v:shape style="position:absolute;left:3018;top:726;width:154;height:386" type="#_x0000_t75" stroked="false">
              <v:imagedata r:id="rId17" o:title=""/>
            </v:shape>
            <v:shape style="position:absolute;left:2780;top:1471;width:193;height:2322" type="#_x0000_t75" stroked="false">
              <v:imagedata r:id="rId18" o:title=""/>
            </v:shape>
            <v:shape style="position:absolute;left:3422;top:5381;width:6693;height:253" coordorigin="3422,5382" coordsize="6693,253" path="m3482,5594l3479,5587,3476,5583,3471,5578,3471,5597,3470,5611,3469,5615,3462,5623,3458,5625,3450,5625,3447,5624,3441,5620,3439,5618,3436,5611,3435,5607,3435,5597,3437,5592,3443,5586,3444,5585,3448,5583,3458,5583,3462,5585,3469,5592,3471,5597,3471,5578,3469,5576,3463,5574,3451,5574,3447,5575,3439,5579,3436,5582,3433,5586,3433,5576,3434,5570,3438,5560,3441,5556,3447,5552,3450,5551,3458,5551,3462,5552,3467,5557,3468,5560,3469,5565,3480,5564,3479,5557,3477,5551,3476,5551,3468,5543,3462,5541,3445,5541,3437,5545,3425,5560,3422,5572,3422,5606,3425,5617,3437,5631,3444,5634,3459,5634,3464,5633,3472,5628,3475,5625,3476,5624,3481,5614,3482,5609,3482,5594xm3483,5434l3480,5427,3476,5423,3472,5419,3469,5416,3462,5413,3448,5413,3443,5415,3437,5419,3442,5394,3478,5394,3478,5384,3433,5384,3424,5430,3435,5432,3437,5429,3439,5427,3445,5424,3448,5423,3457,5423,3462,5425,3469,5432,3471,5437,3471,5451,3469,5455,3462,5463,3457,5465,3447,5465,3443,5464,3437,5458,3435,5454,3434,5448,3423,5449,3423,5457,3426,5463,3437,5472,3443,5475,3462,5475,3470,5471,3474,5465,3480,5458,3483,5451,3483,5434xm3555,5543l3496,5543,3496,5554,3540,5554,3535,5560,3529,5568,3519,5587,3515,5597,3510,5617,3509,5625,3509,5633,3520,5633,3521,5623,3522,5615,3527,5597,3532,5586,3543,5566,3549,5558,3555,5552,3555,5543xm3555,5455l3555,5441,3553,5437,3548,5429,3548,5429,3543,5426,3543,5453,3542,5457,3535,5464,3530,5465,3522,5465,3518,5465,3512,5461,3510,5459,3507,5453,3506,5450,3507,5442,3508,5437,3515,5430,3519,5429,3530,5429,3535,5430,3542,5437,3543,5442,3543,5453,3543,5426,3543,5426,3538,5424,3542,5422,3546,5420,3546,5420,3550,5414,3551,5410,3551,5399,3549,5393,3546,5391,3540,5385,3540,5401,3540,5410,3538,5413,3533,5418,3529,5420,3521,5420,3517,5418,3511,5413,3510,5410,3510,5401,3511,5398,3517,5393,3521,5391,3529,5391,3533,5393,3538,5398,3540,5401,3540,5385,3539,5384,3533,5382,3517,5382,3511,5384,3501,5393,3499,5399,3499,5410,3500,5414,3504,5420,3508,5422,3512,5424,3507,5425,3503,5428,3497,5436,3495,5441,3495,5455,3498,5461,3509,5472,3516,5475,3534,5475,3541,5472,3548,5465,3552,5461,3555,5455xm4029,5594l4026,5587,4022,5583,4017,5578,4017,5597,4017,5611,4015,5615,4012,5619,4009,5623,4005,5625,3997,5625,3994,5624,3991,5622,3988,5620,3986,5618,3982,5611,3982,5607,3982,5597,3983,5592,3990,5586,3990,5585,3995,5583,4005,5583,4009,5585,4015,5592,4017,5597,4017,5578,4015,5576,4009,5574,3998,5574,3993,5575,3986,5579,3982,5582,3980,5586,3980,5576,3981,5570,3985,5560,3988,5556,3991,5554,3994,5552,3997,5551,4005,5551,4009,5552,4012,5555,4014,5557,4015,5560,4016,5565,4027,5564,4026,5557,4023,5551,4022,5551,4014,5543,4009,5541,3992,5541,3984,5545,3972,5560,3969,5572,3969,5606,3972,5617,3983,5631,3991,5634,4006,5634,4010,5633,4019,5628,4021,5625,4022,5624,4025,5619,4027,5614,4029,5609,4029,5594xm4029,5434l4027,5427,4023,5423,4019,5419,4016,5416,4009,5413,3995,5413,3989,5415,3984,5419,3989,5394,4025,5394,4025,5384,3980,5384,3971,5430,3982,5432,3983,5429,3986,5427,3988,5425,3991,5424,3995,5423,4004,5423,4009,5425,4016,5432,4018,5437,4017,5451,4016,5455,4008,5463,4004,5465,3994,5465,3990,5464,3987,5461,3984,5458,3982,5454,3981,5448,3969,5449,3970,5457,3973,5463,3983,5472,3990,5475,4009,5475,4016,5471,4021,5465,4027,5458,4029,5451,4029,5434xm4101,5543l4042,5543,4042,5554,4087,5554,4081,5560,4076,5568,4066,5587,4062,5597,4057,5617,4055,5625,4055,5633,4067,5633,4067,5623,4069,5615,4074,5597,4078,5586,4084,5576,4090,5566,4096,5558,4101,5552,4101,5543xm4101,5455l4101,5441,4100,5437,4097,5433,4094,5429,4094,5429,4090,5426,4090,5453,4088,5457,4081,5464,4077,5465,4068,5465,4065,5465,4062,5463,4059,5461,4057,5459,4055,5456,4054,5453,4053,5450,4053,5442,4055,5437,4062,5430,4066,5429,4077,5429,4081,5430,4085,5434,4088,5437,4090,5442,4090,5453,4090,5426,4090,5426,4084,5424,4089,5422,4092,5420,4092,5420,4097,5414,4098,5410,4098,5399,4095,5393,4093,5391,4086,5385,4086,5401,4086,5410,4085,5413,4082,5416,4079,5418,4076,5420,4067,5420,4064,5418,4061,5416,4058,5413,4057,5410,4057,5401,4058,5398,4064,5393,4067,5391,4076,5391,4079,5393,4085,5398,4086,5401,4086,5385,4086,5384,4079,5382,4064,5382,4057,5384,4048,5393,4045,5399,4045,5410,4046,5414,4049,5417,4051,5420,4054,5422,4059,5424,4053,5425,4049,5428,4043,5436,4042,5441,4042,5455,4044,5461,4050,5467,4056,5472,4063,5475,4081,5475,4088,5472,4093,5467,4095,5465,4099,5461,4101,5455xm4575,5594l4573,5587,4569,5583,4564,5578,4564,5597,4564,5611,4562,5615,4559,5619,4556,5623,4551,5625,4544,5625,4540,5624,4535,5620,4532,5618,4531,5614,4529,5611,4528,5607,4528,5597,4530,5592,4534,5589,4537,5586,4537,5585,4541,5583,4551,5583,4556,5585,4559,5589,4562,5592,4564,5597,4564,5578,4562,5576,4556,5574,4544,5574,4540,5575,4536,5577,4532,5579,4529,5582,4526,5586,4527,5579,4527,5576,4528,5570,4532,5560,4534,5556,4538,5554,4541,5552,4544,5551,4552,5551,4555,5552,4558,5555,4560,5557,4562,5560,4563,5565,4574,5564,4573,5557,4570,5551,4569,5551,4561,5543,4555,5541,4538,5541,4531,5545,4519,5560,4515,5572,4515,5606,4518,5617,4530,5631,4538,5634,4552,5634,4557,5633,4561,5630,4566,5628,4568,5625,4569,5624,4574,5614,4575,5609,4575,5594xm4576,5434l4573,5427,4570,5423,4565,5419,4562,5416,4556,5413,4542,5413,4536,5415,4531,5419,4536,5394,4572,5394,4572,5384,4527,5384,4518,5430,4528,5432,4530,5429,4532,5427,4538,5424,4541,5423,4551,5423,4555,5425,4559,5428,4562,5432,4564,5437,4564,5451,4562,5455,4555,5463,4550,5465,4541,5465,4537,5464,4534,5461,4531,5458,4528,5454,4528,5448,4516,5449,4517,5457,4520,5463,4530,5472,4537,5475,4555,5475,4563,5471,4567,5465,4574,5458,4576,5451,4576,5434xm4648,5594l4645,5587,4642,5583,4636,5578,4636,5597,4636,5611,4635,5615,4632,5619,4628,5623,4624,5625,4616,5625,4613,5624,4610,5622,4607,5620,4605,5618,4603,5614,4602,5611,4601,5607,4601,5597,4603,5592,4609,5586,4610,5585,4614,5583,4624,5583,4628,5585,4635,5592,4636,5597,4636,5578,4635,5576,4628,5574,4617,5574,4613,5575,4605,5579,4602,5582,4599,5586,4599,5576,4600,5570,4602,5565,4604,5560,4607,5556,4611,5554,4613,5552,4616,5551,4624,5551,4628,5552,4631,5555,4633,5557,4634,5560,4635,5565,4646,5564,4645,5557,4643,5551,4642,5551,4633,5543,4628,5541,4611,5541,4603,5545,4591,5560,4588,5572,4588,5606,4591,5617,4597,5624,4603,5631,4610,5634,4625,5634,4630,5633,4638,5628,4641,5625,4642,5624,4644,5619,4647,5614,4648,5609,4648,5594xm4648,5384l4589,5384,4589,5394,4634,5394,4628,5401,4623,5409,4618,5418,4613,5427,4609,5437,4606,5447,4603,5457,4602,5466,4602,5473,4613,5473,4614,5464,4615,5456,4618,5448,4621,5437,4625,5427,4637,5407,4642,5398,4648,5392,4648,5384xm5122,5594l5119,5587,5115,5583,5110,5578,5110,5597,5110,5611,5109,5615,5105,5619,5102,5623,5098,5625,5090,5625,5087,5624,5084,5622,5081,5620,5079,5618,5077,5614,5075,5611,5074,5607,5074,5597,5076,5592,5083,5586,5083,5585,5088,5583,5098,5583,5102,5585,5105,5589,5109,5592,5110,5597,5110,5578,5109,5576,5102,5574,5091,5574,5087,5575,5079,5579,5076,5582,5073,5586,5073,5576,5074,5570,5078,5560,5081,5556,5084,5554,5087,5552,5090,5551,5098,5551,5102,5552,5105,5555,5107,5557,5108,5560,5109,5565,5120,5564,5119,5557,5116,5551,5116,5551,5107,5543,5101,5541,5085,5541,5077,5545,5065,5560,5062,5572,5062,5606,5065,5617,5076,5631,5084,5634,5099,5634,5104,5633,5108,5630,5112,5628,5115,5625,5116,5624,5120,5614,5122,5609,5122,5594xm5122,5434l5120,5427,5116,5423,5112,5419,5109,5416,5102,5413,5088,5413,5083,5415,5077,5419,5082,5394,5118,5394,5118,5384,5073,5384,5064,5430,5075,5432,5076,5429,5079,5427,5081,5425,5084,5424,5088,5423,5097,5423,5102,5425,5105,5428,5109,5432,5111,5437,5110,5451,5109,5455,5101,5463,5097,5465,5087,5465,5083,5464,5080,5461,5077,5458,5075,5454,5074,5448,5062,5449,5063,5457,5066,5463,5076,5472,5083,5475,5101,5475,5110,5471,5114,5465,5115,5463,5120,5458,5122,5451,5122,5434xm5194,5601l5182,5601,5182,5560,5182,5542,5173,5542,5171,5545,5171,5560,5171,5601,5142,5601,5171,5560,5171,5545,5131,5601,5131,5611,5171,5611,5171,5633,5182,5633,5182,5611,5194,5611,5194,5601xm5194,5435l5192,5428,5188,5424,5183,5419,5183,5438,5183,5451,5181,5456,5178,5460,5174,5464,5170,5465,5162,5465,5159,5465,5157,5463,5154,5461,5151,5458,5150,5455,5148,5451,5147,5448,5147,5438,5149,5433,5155,5426,5156,5426,5160,5424,5170,5424,5175,5426,5178,5429,5181,5433,5183,5438,5183,5419,5181,5417,5175,5414,5163,5414,5159,5415,5155,5417,5152,5419,5148,5422,5145,5426,5146,5417,5147,5410,5149,5405,5151,5400,5154,5397,5157,5394,5160,5392,5163,5391,5171,5391,5174,5393,5177,5396,5179,5398,5181,5401,5182,5405,5193,5405,5192,5398,5189,5392,5188,5391,5185,5388,5180,5384,5174,5382,5157,5382,5150,5385,5138,5400,5134,5413,5134,5446,5137,5458,5149,5471,5157,5475,5171,5475,5176,5473,5185,5468,5187,5465,5188,5464,5191,5460,5193,5455,5194,5449,5194,5435xm5668,5594l5666,5587,5662,5583,5657,5578,5657,5597,5657,5611,5655,5615,5652,5619,5649,5623,5645,5625,5637,5625,5633,5624,5631,5622,5628,5620,5625,5618,5624,5614,5622,5611,5621,5607,5621,5597,5623,5592,5630,5586,5630,5585,5634,5583,5644,5583,5649,5585,5655,5592,5657,5597,5657,5578,5655,5576,5649,5574,5637,5574,5633,5575,5625,5579,5622,5582,5620,5586,5620,5576,5621,5570,5623,5565,5625,5560,5627,5556,5631,5554,5634,5552,5637,5551,5645,5551,5649,5552,5652,5555,5653,5557,5655,5560,5656,5565,5667,5564,5666,5557,5663,5551,5662,5551,5654,5543,5648,5541,5632,5541,5624,5545,5612,5560,5608,5572,5608,5606,5611,5617,5623,5631,5631,5634,5645,5634,5650,5633,5659,5628,5661,5625,5662,5624,5665,5619,5667,5614,5668,5609,5668,5594xm5669,5434l5666,5427,5662,5423,5658,5419,5655,5416,5649,5413,5635,5413,5629,5415,5624,5419,5629,5394,5665,5394,5665,5384,5620,5384,5611,5430,5621,5432,5623,5429,5625,5427,5628,5425,5631,5424,5634,5423,5644,5423,5648,5425,5652,5428,5655,5432,5657,5437,5657,5451,5655,5455,5648,5463,5643,5465,5634,5465,5630,5464,5627,5461,5623,5458,5622,5454,5621,5448,5609,5449,5610,5457,5613,5463,5623,5472,5630,5475,5648,5475,5656,5471,5661,5465,5667,5458,5669,5451,5669,5434xm5737,5409l5737,5401,5736,5398,5733,5394,5732,5391,5731,5390,5728,5387,5724,5385,5719,5383,5715,5382,5703,5382,5697,5384,5687,5392,5684,5398,5683,5406,5694,5407,5695,5402,5697,5398,5697,5398,5702,5393,5706,5391,5715,5391,5718,5393,5724,5398,5725,5401,5725,5410,5723,5414,5716,5419,5712,5420,5730,5420,5731,5419,5733,5416,5736,5413,5737,5409xm5740,5622l5696,5622,5697,5620,5698,5618,5702,5614,5707,5610,5713,5604,5721,5598,5727,5592,5734,5584,5736,5581,5739,5574,5740,5571,5740,5559,5738,5553,5734,5551,5732,5549,5727,5544,5720,5541,5703,5541,5696,5544,5691,5548,5686,5553,5683,5559,5682,5568,5694,5569,5694,5563,5695,5559,5702,5552,5706,5551,5717,5551,5721,5552,5724,5555,5727,5558,5729,5562,5729,5571,5727,5575,5720,5584,5713,5591,5697,5604,5692,5609,5686,5617,5683,5621,5681,5625,5681,5627,5680,5630,5680,5633,5740,5633,5740,5622xm5741,5440l5739,5436,5737,5432,5735,5429,5734,5428,5729,5425,5724,5424,5728,5422,5730,5420,5711,5420,5706,5420,5705,5420,5704,5430,5707,5429,5709,5429,5717,5429,5721,5431,5728,5437,5729,5441,5729,5452,5728,5456,5720,5464,5716,5465,5706,5465,5702,5464,5699,5461,5696,5459,5694,5454,5693,5448,5682,5449,5682,5457,5685,5463,5691,5468,5696,5472,5702,5475,5719,5475,5727,5472,5732,5466,5733,5465,5738,5461,5741,5454,5741,5440xm6215,5594l6213,5587,6209,5583,6204,5578,6204,5597,6203,5611,6202,5615,6195,5623,6191,5625,6183,5625,6180,5624,6177,5622,6174,5620,6172,5618,6170,5614,6169,5611,6168,5607,6168,5597,6170,5592,6173,5589,6176,5586,6177,5585,6181,5583,6191,5583,6195,5585,6199,5589,6202,5592,6204,5597,6204,5578,6202,5576,6196,5574,6184,5574,6180,5575,6176,5577,6172,5579,6169,5582,6166,5586,6166,5576,6167,5570,6169,5565,6171,5560,6174,5556,6178,5554,6180,5552,6184,5551,6191,5551,6195,5552,6198,5555,6200,5557,6201,5560,6202,5565,6213,5564,6213,5557,6210,5551,6209,5551,6201,5543,6195,5541,6178,5541,6171,5545,6158,5560,6155,5572,6155,5606,6158,5617,6170,5631,6177,5634,6192,5634,6197,5633,6201,5630,6206,5628,6208,5625,6209,5624,6211,5619,6214,5614,6215,5609,6215,5594xm6216,5434l6213,5427,6209,5423,6205,5419,6202,5416,6196,5413,6182,5413,6176,5415,6171,5419,6175,5394,6211,5394,6211,5384,6166,5384,6158,5430,6168,5432,6170,5429,6172,5427,6178,5424,6181,5423,6190,5423,6195,5425,6199,5428,6202,5432,6204,5437,6204,5451,6202,5455,6195,5463,6190,5465,6180,5465,6177,5464,6173,5461,6170,5458,6168,5454,6167,5448,6156,5449,6156,5457,6159,5463,6170,5472,6177,5475,6195,5475,6203,5471,6207,5465,6213,5458,6216,5451,6216,5434xm6287,5622l6242,5622,6244,5620,6245,5618,6247,5616,6249,5614,6253,5610,6260,5604,6268,5598,6274,5592,6277,5588,6280,5584,6283,5581,6285,5577,6286,5574,6287,5571,6287,5559,6284,5553,6281,5551,6279,5549,6274,5544,6267,5541,6250,5541,6243,5544,6238,5548,6233,5553,6230,5559,6229,5568,6240,5569,6240,5563,6242,5559,6245,5555,6248,5552,6253,5551,6263,5551,6267,5552,6270,5555,6274,5558,6275,5562,6275,5571,6273,5575,6266,5584,6260,5591,6250,5599,6244,5604,6239,5609,6235,5613,6232,5617,6230,5621,6228,5625,6227,5627,6227,5630,6227,5633,6287,5633,6287,5622xm6287,5462l6242,5462,6244,5460,6245,5458,6247,5456,6249,5454,6253,5451,6260,5445,6268,5438,6274,5433,6277,5429,6280,5425,6283,5421,6285,5418,6286,5414,6287,5411,6287,5400,6284,5394,6281,5391,6279,5389,6274,5384,6267,5382,6250,5382,6243,5384,6238,5389,6233,5393,6230,5400,6229,5408,6240,5409,6240,5404,6242,5399,6245,5396,6248,5393,6253,5391,6263,5391,6267,5393,6270,5396,6274,5399,6275,5402,6275,5411,6273,5416,6266,5425,6260,5431,6250,5440,6244,5445,6239,5449,6235,5453,6232,5457,6230,5461,6228,5465,6227,5468,6227,5470,6227,5473,6287,5473,6287,5462xm6762,5594l6759,5587,6755,5583,6750,5578,6750,5597,6750,5611,6749,5615,6745,5619,6742,5623,6738,5625,6730,5625,6727,5624,6724,5622,6721,5620,6719,5618,6717,5614,6715,5611,6715,5607,6715,5597,6716,5592,6723,5586,6723,5585,6728,5583,6738,5583,6742,5585,6745,5589,6749,5592,6750,5597,6750,5578,6749,5576,6742,5574,6731,5574,6727,5575,6719,5579,6716,5582,6713,5586,6713,5576,6714,5570,6718,5560,6721,5556,6724,5554,6727,5552,6730,5551,6738,5551,6742,5552,6745,5555,6747,5557,6748,5560,6749,5565,6760,5564,6759,5557,6756,5551,6756,5551,6747,5543,6741,5541,6725,5541,6717,5545,6711,5552,6705,5560,6702,5572,6702,5606,6705,5617,6716,5631,6724,5634,6739,5634,6744,5633,6748,5630,6752,5628,6755,5625,6756,5624,6760,5614,6762,5609,6762,5594xm6762,5434l6760,5427,6756,5423,6752,5419,6749,5416,6742,5413,6728,5413,6723,5415,6717,5419,6722,5394,6758,5394,6758,5384,6713,5384,6704,5430,6715,5432,6716,5429,6719,5427,6721,5425,6724,5424,6728,5423,6737,5423,6742,5425,6745,5428,6749,5432,6751,5437,6750,5451,6749,5455,6745,5459,6741,5463,6737,5465,6727,5465,6723,5464,6720,5461,6717,5458,6715,5454,6714,5448,6702,5449,6703,5457,6706,5463,6716,5472,6723,5475,6741,5475,6750,5471,6754,5465,6755,5463,6760,5458,6762,5451,6762,5434xm6834,5462l6789,5462,6790,5460,6792,5458,6796,5454,6800,5451,6815,5438,6820,5433,6827,5425,6830,5421,6833,5414,6833,5411,6833,5400,6831,5394,6828,5391,6821,5384,6814,5382,6797,5382,6790,5384,6784,5389,6779,5393,6776,5400,6776,5408,6787,5409,6787,5404,6789,5399,6795,5393,6799,5391,6810,5391,6814,5393,6817,5396,6820,5399,6822,5402,6822,5411,6820,5416,6813,5425,6807,5431,6790,5445,6785,5449,6782,5453,6779,5457,6776,5461,6775,5465,6774,5468,6773,5470,6773,5473,6834,5473,6834,5462xm6834,5579l6833,5572,6831,5561,6829,5556,6825,5551,6824,5549,6823,5548,6823,5573,6823,5603,6821,5613,6814,5622,6810,5625,6799,5625,6795,5622,6788,5613,6786,5603,6786,5573,6788,5563,6795,5553,6799,5551,6810,5551,6814,5553,6821,5563,6823,5573,6823,5548,6821,5546,6817,5544,6814,5542,6809,5541,6798,5541,6792,5543,6784,5550,6780,5555,6776,5568,6775,5577,6775,5605,6778,5617,6784,5625,6789,5631,6796,5634,6811,5634,6817,5632,6825,5625,6825,5625,6829,5620,6831,5614,6833,5607,6834,5598,6834,5579xm7309,5593l7306,5586,7303,5582,7298,5578,7295,5575,7289,5572,7275,5572,7269,5574,7264,5578,7269,5554,7305,5554,7305,5543,7260,5543,7251,5590,7262,5591,7263,5588,7265,5586,7271,5583,7274,5582,7284,5582,7288,5584,7292,5588,7295,5591,7297,5596,7297,5610,7295,5615,7288,5623,7283,5625,7274,5625,7270,5623,7267,5621,7263,5618,7262,5613,7261,5608,7249,5609,7250,5616,7253,5622,7263,5632,7270,5634,7288,5634,7296,5630,7301,5625,7307,5617,7309,5610,7309,5593xm7309,5434l7306,5427,7302,5423,7298,5419,7295,5416,7289,5413,7275,5413,7269,5415,7264,5419,7269,5394,7305,5394,7305,5384,7260,5384,7251,5430,7262,5432,7263,5429,7265,5427,7271,5424,7274,5423,7284,5423,7288,5425,7292,5428,7295,5432,7297,5437,7297,5451,7295,5455,7288,5463,7283,5465,7274,5465,7270,5464,7267,5461,7263,5458,7262,5454,7261,5448,7249,5449,7250,5457,7253,5463,7263,5472,7270,5475,7288,5475,7296,5471,7301,5465,7307,5458,7309,5451,7309,5434xm7381,5439l7381,5418,7380,5412,7379,5407,7377,5402,7376,5397,7372,5391,7371,5390,7369,5388,7369,5413,7369,5443,7368,5453,7361,5463,7356,5465,7346,5465,7342,5463,7335,5453,7333,5443,7333,5413,7335,5403,7342,5393,7346,5391,7356,5391,7361,5394,7368,5403,7369,5413,7369,5388,7368,5387,7360,5383,7356,5382,7345,5382,7339,5384,7330,5391,7327,5396,7323,5409,7322,5418,7322,5445,7325,5458,7331,5466,7336,5472,7342,5475,7358,5475,7363,5473,7372,5466,7372,5465,7375,5461,7380,5448,7381,5439xm7381,5543l7322,5543,7322,5554,7367,5554,7361,5560,7356,5568,7346,5587,7342,5597,7337,5617,7335,5625,7335,5633,7346,5633,7347,5623,7349,5615,7354,5597,7358,5586,7369,5566,7375,5558,7381,5552,7381,5543xm7855,5441l7843,5441,7843,5400,7843,5382,7833,5382,7831,5385,7831,5400,7831,5441,7803,5441,7831,5400,7831,5385,7792,5441,7792,5451,7831,5451,7831,5473,7843,5473,7843,5451,7855,5451,7855,5441xm7856,5593l7853,5586,7849,5582,7845,5578,7842,5575,7836,5572,7822,5572,7816,5574,7811,5578,7815,5554,7852,5554,7852,5543,7806,5543,7798,5590,7808,5591,7810,5588,7812,5586,7818,5583,7821,5582,7830,5582,7835,5584,7839,5588,7842,5591,7844,5596,7844,5610,7842,5615,7835,5623,7830,5625,7820,5625,7817,5623,7813,5621,7810,5618,7808,5613,7807,5608,7796,5609,7796,5616,7799,5622,7810,5632,7817,5634,7835,5634,7843,5630,7847,5625,7853,5617,7856,5610,7856,5593xm7928,5594l7925,5587,7921,5583,7916,5578,7916,5597,7916,5611,7915,5615,7911,5619,7908,5623,7904,5625,7896,5625,7893,5624,7890,5622,7887,5620,7885,5618,7883,5614,7881,5611,7881,5607,7881,5597,7882,5592,7889,5586,7889,5585,7894,5583,7904,5583,7908,5585,7915,5592,7916,5597,7916,5578,7915,5576,7908,5574,7897,5574,7893,5575,7885,5579,7881,5582,7879,5586,7879,5576,7880,5570,7882,5565,7884,5560,7887,5556,7890,5554,7893,5552,7896,5551,7904,5551,7908,5552,7911,5555,7913,5557,7914,5560,7915,5565,7926,5564,7925,5557,7922,5551,7921,5551,7913,5543,7907,5541,7891,5541,7883,5545,7871,5560,7868,5572,7868,5606,7871,5617,7877,5624,7882,5631,7890,5634,7905,5634,7910,5633,7918,5628,7921,5625,7922,5624,7924,5619,7927,5614,7928,5609,7928,5594xm7928,5415l7927,5406,7922,5394,7919,5391,7918,5390,7916,5388,7916,5406,7916,5419,7914,5423,7911,5427,7907,5431,7903,5432,7893,5432,7888,5431,7881,5423,7880,5419,7880,5406,7881,5401,7889,5393,7893,5391,7903,5391,7907,5393,7910,5397,7914,5401,7916,5406,7916,5388,7913,5387,7908,5384,7903,5382,7889,5382,7882,5385,7871,5396,7868,5403,7868,5422,7871,5429,7881,5440,7888,5442,7900,5442,7904,5441,7908,5439,7912,5437,7915,5434,7915,5432,7917,5430,7917,5437,7916,5442,7914,5451,7913,5454,7911,5457,7909,5459,7907,5462,7902,5465,7899,5465,7892,5465,7888,5464,7883,5460,7881,5456,7881,5451,7870,5452,7871,5459,7874,5465,7878,5469,7883,5473,7888,5475,7902,5475,7908,5473,7913,5469,7918,5466,7918,5465,7922,5460,7924,5454,7927,5447,7928,5437,7928,5430,7928,5415xm8402,5441l8389,5441,8389,5400,8389,5382,8380,5382,8378,5385,8378,5400,8378,5441,8350,5441,8378,5400,8378,5385,8339,5441,8339,5451,8378,5451,8378,5473,8389,5473,8389,5451,8402,5451,8402,5441xm8403,5593l8400,5586,8396,5582,8392,5578,8389,5575,8382,5572,8368,5572,8363,5574,8357,5578,8362,5554,8398,5554,8398,5543,8353,5543,8344,5590,8355,5591,8356,5588,8359,5586,8362,5585,8364,5583,8368,5582,8377,5582,8382,5584,8385,5588,8389,5591,8391,5596,8390,5610,8389,5615,8381,5623,8377,5625,8367,5625,8363,5623,8360,5621,8357,5618,8355,5613,8354,5608,8342,5609,8343,5616,8346,5622,8356,5632,8363,5634,8381,5634,8390,5630,8394,5625,8400,5617,8403,5610,8403,5593xm8474,5601l8462,5601,8462,5560,8462,5542,8453,5542,8451,5545,8451,5560,8451,5601,8422,5601,8451,5560,8451,5545,8411,5601,8411,5611,8451,5611,8451,5633,8462,5633,8462,5611,8474,5611,8474,5601xm8475,5455l8474,5441,8473,5437,8470,5433,8467,5429,8467,5429,8463,5426,8463,5453,8462,5457,8455,5464,8450,5465,8441,5465,8438,5465,8432,5461,8430,5459,8427,5453,8426,5450,8426,5442,8428,5437,8432,5434,8435,5430,8439,5429,8450,5429,8454,5430,8461,5437,8463,5442,8463,5453,8463,5426,8463,5426,8457,5424,8462,5422,8465,5420,8465,5420,8468,5417,8470,5414,8471,5410,8471,5399,8469,5393,8466,5391,8464,5389,8459,5385,8459,5401,8459,5410,8458,5413,8455,5416,8453,5418,8449,5420,8440,5420,8437,5418,8434,5416,8431,5413,8430,5410,8430,5401,8431,5398,8434,5395,8437,5393,8440,5391,8449,5391,8452,5393,8458,5398,8459,5401,8459,5385,8459,5384,8452,5382,8437,5382,8430,5384,8426,5389,8421,5393,8418,5399,8419,5410,8420,5414,8422,5417,8424,5420,8427,5422,8432,5424,8427,5425,8422,5428,8416,5436,8415,5441,8415,5455,8418,5461,8428,5472,8436,5475,8454,5475,8461,5472,8468,5465,8472,5461,8475,5455xm8949,5593l8946,5586,8943,5582,8938,5578,8935,5575,8929,5572,8915,5572,8909,5574,8904,5578,8909,5554,8945,5554,8945,5543,8900,5543,8891,5590,8902,5591,8903,5588,8905,5586,8911,5583,8914,5582,8924,5582,8929,5584,8935,5591,8937,5596,8937,5610,8935,5615,8928,5623,8924,5625,8914,5625,8910,5623,8907,5621,8903,5618,8902,5613,8901,5608,8889,5609,8890,5616,8893,5622,8903,5632,8910,5634,8928,5634,8936,5630,8941,5625,8947,5617,8949,5610,8949,5593xm9004,5541l8996,5541,8994,5545,8991,5549,8986,5554,8982,5558,8976,5561,8970,5564,8970,5575,8974,5574,8977,5572,8986,5567,8990,5564,8993,5562,8993,5633,9004,5633,9004,5562,9004,5541xm9494,5601l9482,5601,9482,5560,9482,5542,9473,5542,9471,5545,9471,5560,9471,5601,9443,5601,9471,5560,9471,5545,9432,5601,9432,5611,9471,5611,9471,5633,9482,5633,9482,5611,9494,5611,9494,5601xm9568,5574l9567,5566,9561,5554,9559,5551,9558,5549,9555,5548,9555,5565,9555,5578,9554,5583,9550,5586,9547,5590,9543,5592,9533,5592,9528,5590,9521,5583,9520,5578,9520,5566,9521,5561,9529,5553,9533,5551,9543,5551,9547,5552,9554,5560,9555,5565,9555,5548,9553,5546,9548,5543,9542,5541,9528,5541,9522,5544,9511,5555,9508,5563,9508,5581,9511,5588,9521,5599,9527,5602,9539,5602,9544,5601,9547,5598,9551,5596,9554,5593,9555,5592,9557,5590,9556,5598,9556,5601,9556,5602,9554,5610,9552,5614,9551,5616,9549,5619,9547,5621,9545,5623,9542,5624,9539,5625,9531,5625,9528,5624,9523,5619,9521,5616,9520,5611,9510,5612,9511,5619,9513,5624,9522,5632,9528,5634,9542,5634,9548,5632,9553,5629,9558,5625,9558,5625,9561,5620,9567,5606,9567,5598,9568,5590,9568,5574xm10041,5601l10029,5601,10029,5560,10029,5542,10020,5542,10018,5545,10018,5560,10018,5601,9989,5601,10018,5560,10018,5545,9978,5601,9978,5611,10018,5611,10018,5633,10029,5633,10029,5611,10041,5611,10041,5601xm10110,5569l10110,5561,10109,5557,10105,5551,10104,5550,10101,5547,10093,5542,10088,5541,10076,5541,10070,5543,10065,5548,10060,5552,10057,5557,10056,5565,10067,5567,10068,5561,10070,5557,10070,5557,10073,5555,10075,5552,10079,5551,10088,5551,10091,5552,10094,5555,10097,5557,10098,5561,10098,5570,10096,5574,10093,5576,10089,5579,10085,5580,10103,5580,10104,5579,10109,5572,10110,5569xm10114,5600l10113,5595,10110,5591,10108,5588,10107,5587,10103,5585,10097,5583,10101,5581,10103,5580,10085,5580,10079,5580,10078,5580,10077,5590,10080,5589,10082,5588,10090,5588,10094,5590,10097,5593,10101,5597,10102,5601,10102,5611,10100,5616,10097,5619,10093,5623,10089,5625,10079,5625,10075,5623,10069,5618,10067,5613,10066,5607,10055,5609,10055,5616,10058,5622,10069,5632,10076,5634,10092,5634,10100,5631,10106,5626,10107,5625,10111,5620,10114,5614,10114,5600xe" filled="true" fillcolor="#000000" stroked="false">
              <v:path arrowok="t"/>
              <v:fill type="solid"/>
            </v:shape>
            <v:shape style="position:absolute;left:2101;top:5143;width:1055;height:468" type="#_x0000_t75" stroked="false">
              <v:imagedata r:id="rId19" o:title=""/>
            </v:shape>
            <v:shape style="position:absolute;left:8885;top:5381;width:1229;height:93" coordorigin="8885,5382" coordsize="1229,93" path="m8948,5441l8936,5441,8936,5400,8936,5382,8927,5382,8925,5385,8925,5400,8925,5441,8896,5441,8925,5400,8925,5385,8885,5441,8885,5451,8925,5451,8925,5473,8936,5473,8936,5451,8948,5451,8948,5441xm9021,5441l9008,5441,9008,5400,9008,5382,8999,5382,8997,5385,8997,5400,8997,5441,8969,5441,8997,5400,8997,5385,8958,5441,8958,5451,8997,5451,8997,5473,9008,5473,9008,5451,9021,5451,9021,5441xm9494,5441l9482,5441,9482,5400,9482,5382,9473,5382,9471,5385,9471,5400,9471,5441,9443,5441,9471,5400,9471,5385,9432,5441,9432,5451,9471,5451,9471,5473,9482,5473,9482,5451,9494,5451,9494,5441xm9567,5462l9522,5462,9523,5460,9527,5456,9529,5454,9533,5451,9540,5445,9548,5438,9553,5433,9557,5429,9560,5425,9563,5421,9564,5418,9566,5414,9566,5411,9566,5400,9564,5394,9561,5391,9559,5389,9554,5384,9547,5382,9530,5382,9523,5384,9512,5393,9509,5400,9509,5408,9520,5409,9520,5404,9522,5399,9525,5396,9528,5393,9533,5391,9543,5391,9547,5393,9550,5396,9553,5399,9555,5402,9555,5411,9553,5416,9546,5425,9540,5431,9530,5440,9523,5445,9519,5449,9515,5453,9512,5457,9509,5461,9508,5465,9507,5468,9506,5470,9507,5473,9567,5473,9567,5462xm10041,5441l10029,5441,10029,5400,10029,5382,10020,5382,10018,5385,10018,5400,10018,5441,9989,5441,10018,5400,10018,5385,9978,5441,9978,5451,10018,5451,10018,5473,10029,5473,10029,5451,10041,5451,10041,5441xm10114,5439l10114,5418,10113,5412,10111,5402,10109,5397,10105,5391,10104,5390,10102,5388,10102,5413,10102,5443,10101,5453,10094,5463,10089,5465,10079,5465,10075,5463,10068,5453,10066,5443,10066,5413,10068,5403,10075,5393,10079,5391,10089,5391,10094,5394,10101,5403,10102,5413,10102,5388,10101,5387,10097,5385,10094,5383,10089,5382,10078,5382,10072,5384,10063,5391,10060,5396,10056,5409,10055,5418,10055,5445,10058,5458,10064,5466,10069,5472,10075,5475,10091,5475,10096,5473,10105,5466,10105,5465,10108,5461,10113,5448,10114,5439xe" filled="true" fillcolor="#000000" stroked="false">
              <v:path arrowok="t"/>
              <v:fill type="solid"/>
            </v:shape>
            <v:shape style="position:absolute;left:3352;top:4480;width:6836;height:87" coordorigin="3353,4481" coordsize="6836,87" path="m3353,4481l10188,4481m3490,4481l3490,4568e" filled="false" stroked="true" strokeweight=".626692pt" strokecolor="#000000">
              <v:path arrowok="t"/>
              <v:stroke dashstyle="solid"/>
            </v:shape>
            <v:shape style="position:absolute;left:3437;top:4650;width:99;height:154" coordorigin="3438,4650" coordsize="99,154" path="m3495,4650l3476,4650,3467,4653,3452,4665,3447,4673,3443,4684,3441,4693,3439,4703,3438,4715,3438,4727,3439,4747,3441,4764,3446,4778,3453,4789,3461,4799,3472,4804,3498,4804,3507,4801,3521,4789,3522,4789,3478,4789,3471,4785,3465,4777,3462,4769,3459,4758,3457,4744,3457,4727,3457,4710,3459,4696,3462,4685,3466,4676,3471,4669,3478,4666,3521,4666,3519,4663,3514,4659,3502,4652,3495,4650xm3521,4666l3495,4666,3503,4670,3508,4678,3512,4686,3515,4696,3516,4710,3517,4727,3516,4744,3515,4758,3512,4769,3508,4777,3502,4785,3495,4789,3522,4789,3527,4781,3531,4770,3533,4761,3535,4751,3536,4740,3536,4727,3536,4712,3535,4701,3530,4683,3527,4675,3521,4666xe" filled="true" fillcolor="#000000" stroked="false">
              <v:path arrowok="t"/>
              <v:fill type="solid"/>
            </v:shape>
            <v:line style="position:absolute" from="4037,4481" to="4037,4568" stroked="true" strokeweight=".626712pt" strokecolor="#000000">
              <v:stroke dashstyle="solid"/>
            </v:line>
            <v:shape style="position:absolute;left:3998;top:4650;width:56;height:152" coordorigin="3998,4650" coordsize="56,152" path="m4054,4650l4042,4650,4039,4657,4034,4664,4018,4677,4009,4683,3998,4688,3998,4706,4035,4684,4035,4802,4054,4802,4054,4650xe" filled="true" fillcolor="#000000" stroked="false">
              <v:path arrowok="t"/>
              <v:fill type="solid"/>
            </v:shape>
            <v:line style="position:absolute" from="4584,4481" to="4584,4568" stroked="true" strokeweight=".626712pt" strokecolor="#000000">
              <v:stroke dashstyle="solid"/>
            </v:line>
            <v:shape style="position:absolute;left:4528;top:4650;width:100;height:152" coordorigin="4529,4650" coordsize="100,152" path="m4596,4650l4567,4650,4555,4654,4538,4669,4534,4680,4532,4694,4551,4696,4551,4686,4554,4679,4565,4668,4572,4666,4589,4666,4596,4668,4606,4678,4609,4684,4609,4699,4606,4706,4557,4755,4549,4762,4537,4775,4533,4782,4531,4789,4529,4793,4529,4797,4529,4802,4628,4802,4628,4784,4554,4784,4556,4781,4559,4777,4565,4771,4597,4744,4606,4735,4618,4722,4622,4716,4627,4704,4628,4698,4628,4680,4624,4670,4607,4654,4596,4650xe" filled="true" fillcolor="#000000" stroked="false">
              <v:path arrowok="t"/>
              <v:fill type="solid"/>
            </v:shape>
            <v:line style="position:absolute" from="5130,4481" to="5130,4568" stroked="true" strokeweight=".626712pt" strokecolor="#000000">
              <v:stroke dashstyle="solid"/>
            </v:line>
            <v:shape style="position:absolute;left:5077;top:4650;width:99;height:154" coordorigin="5078,4650" coordsize="99,154" path="m5133,4650l5113,4650,5103,4654,5087,4667,5082,4677,5079,4689,5098,4693,5099,4684,5102,4677,5112,4668,5118,4666,5132,4666,5138,4668,5148,4677,5150,4682,5150,4698,5147,4704,5134,4712,5127,4714,5119,4714,5116,4714,5114,4730,5119,4729,5124,4728,5136,4728,5143,4731,5154,4742,5157,4749,5157,4766,5154,4774,5142,4786,5134,4789,5118,4789,5112,4787,5102,4777,5098,4770,5096,4759,5078,4762,5079,4774,5084,4785,5101,4800,5112,4804,5140,4804,5152,4800,5171,4781,5176,4770,5176,4747,5174,4739,5164,4726,5157,4722,5148,4720,5155,4717,5160,4713,5167,4702,5169,4696,5169,4683,5167,4676,5160,4664,5154,4659,5141,4652,5133,4650xe" filled="true" fillcolor="#000000" stroked="false">
              <v:path arrowok="t"/>
              <v:fill type="solid"/>
            </v:shape>
            <v:line style="position:absolute" from="5677,4481" to="5677,4568" stroked="true" strokeweight=".626712pt" strokecolor="#000000">
              <v:stroke dashstyle="solid"/>
            </v:line>
            <v:shape style="position:absolute;left:5618;top:4650;width:105;height:151" type="#_x0000_t75" stroked="false">
              <v:imagedata r:id="rId20" o:title=""/>
            </v:shape>
            <v:line style="position:absolute" from="6224,4481" to="6224,4568" stroked="true" strokeweight=".626712pt" strokecolor="#000000">
              <v:stroke dashstyle="solid"/>
            </v:line>
            <v:shape style="position:absolute;left:6170;top:4653;width:100;height:152" coordorigin="6171,4653" coordsize="100,152" path="m6264,4653l6189,4653,6174,4730,6191,4733,6194,4728,6198,4725,6208,4719,6213,4718,6229,4718,6236,4721,6248,4733,6251,4742,6251,4763,6248,4772,6236,4786,6228,4789,6212,4789,6206,4787,6195,4777,6192,4770,6190,4761,6171,4762,6172,4775,6177,4785,6194,4800,6206,4804,6219,4804,6271,4764,6271,4736,6266,4725,6248,4706,6237,4702,6214,4702,6204,4705,6195,4711,6204,4671,6264,4671,6264,4653xe" filled="true" fillcolor="#000000" stroked="false">
              <v:path arrowok="t"/>
              <v:fill type="solid"/>
            </v:shape>
            <v:line style="position:absolute" from="6770,4481" to="6770,4568" stroked="true" strokeweight=".626712pt" strokecolor="#000000">
              <v:stroke dashstyle="solid"/>
            </v:line>
            <v:shape style="position:absolute;left:6716;top:4650;width:100;height:154" coordorigin="6717,4650" coordsize="100,154" path="m6783,4650l6771,4650,6759,4651,6749,4655,6740,4660,6733,4668,6726,4679,6721,4693,6718,4711,6717,4731,6718,4749,6720,4765,6725,4777,6731,4787,6739,4795,6748,4800,6758,4803,6769,4804,6778,4804,6786,4802,6800,4793,6804,4789,6763,4789,6758,4787,6753,4784,6748,4781,6745,4777,6742,4771,6739,4765,6738,4759,6738,4743,6741,4735,6752,4724,6735,4724,6735,4708,6737,4697,6740,4689,6744,4681,6748,4675,6754,4671,6758,4667,6764,4666,6806,4666,6800,4660,6792,4654,6783,4650xm6806,4720l6776,4720,6783,4723,6789,4729,6795,4735,6797,4743,6797,4765,6794,4773,6789,4780,6783,4786,6777,4789,6804,4789,6806,4787,6814,4771,6816,4762,6816,4738,6812,4727,6806,4720xm6784,4704l6765,4704,6758,4706,6751,4709,6745,4712,6740,4717,6735,4724,6752,4724,6753,4723,6760,4720,6806,4720,6803,4718,6795,4708,6784,4704xm6806,4666l6777,4666,6783,4668,6788,4673,6791,4677,6794,4682,6795,4689,6814,4688,6812,4676,6807,4667,6806,4666xe" filled="true" fillcolor="#000000" stroked="false">
              <v:path arrowok="t"/>
              <v:fill type="solid"/>
            </v:shape>
            <v:line style="position:absolute" from="7317,4481" to="7317,4568" stroked="true" strokeweight=".626712pt" strokecolor="#000000">
              <v:stroke dashstyle="solid"/>
            </v:line>
            <v:shape style="position:absolute;left:7265;top:4652;width:98;height:149" coordorigin="7265,4653" coordsize="98,149" path="m7363,4653l7265,4653,7265,4671,7339,4671,7332,4679,7302,4734,7287,4792,7287,4802,7305,4802,7307,4791,7308,4780,7328,4721,7363,4667,7363,4653xe" filled="true" fillcolor="#000000" stroked="false">
              <v:path arrowok="t"/>
              <v:fill type="solid"/>
            </v:shape>
            <v:line style="position:absolute" from="7864,4481" to="7864,4568" stroked="true" strokeweight=".626712pt" strokecolor="#000000">
              <v:stroke dashstyle="solid"/>
            </v:line>
            <v:shape style="position:absolute;left:7810;top:4650;width:100;height:154" coordorigin="7811,4650" coordsize="100,154" path="m7873,4650l7847,4650,7836,4654,7821,4669,7817,4678,7817,4697,7819,4703,7826,4713,7832,4717,7839,4720,7830,4722,7823,4727,7813,4740,7811,4748,7811,4771,7815,4782,7824,4791,7833,4800,7845,4804,7875,4804,7887,4800,7898,4789,7855,4789,7849,4788,7844,4785,7840,4782,7836,4778,7833,4773,7831,4769,7830,4763,7830,4749,7832,4742,7838,4737,7844,4731,7851,4728,7898,4728,7898,4728,7891,4723,7881,4720,7889,4717,7895,4713,7895,4713,7853,4713,7847,4711,7838,4702,7836,4696,7836,4682,7838,4677,7843,4672,7847,4668,7853,4666,7896,4666,7884,4654,7873,4650xm7898,4728l7869,4728,7876,4731,7888,4743,7891,4750,7891,4768,7888,4775,7882,4780,7877,4786,7869,4789,7898,4789,7905,4782,7910,4771,7910,4749,7908,4741,7903,4735,7898,4728xm7896,4666l7867,4666,7873,4668,7878,4673,7882,4677,7885,4682,7885,4696,7883,4702,7873,4711,7868,4713,7895,4713,7902,4703,7904,4697,7904,4679,7900,4669,7896,4666xe" filled="true" fillcolor="#000000" stroked="false">
              <v:path arrowok="t"/>
              <v:fill type="solid"/>
            </v:shape>
            <v:line style="position:absolute" from="8410,4481" to="8410,4568" stroked="true" strokeweight=".626712pt" strokecolor="#000000">
              <v:stroke dashstyle="solid"/>
            </v:line>
            <v:shape style="position:absolute;left:8357;top:4650;width:99;height:154" coordorigin="8358,4650" coordsize="99,154" path="m8378,4765l8360,4767,8362,4779,8366,4788,8374,4794,8381,4801,8391,4804,8414,4804,8423,4801,8440,4789,8440,4789,8396,4789,8391,4787,8387,4783,8383,4780,8380,4774,8378,4765xm8456,4731l8438,4731,8438,4732,8438,4734,8438,4742,8437,4750,8435,4757,8434,4764,8431,4770,8428,4775,8426,4779,8422,4783,8414,4788,8409,4789,8440,4789,8446,4781,8450,4769,8453,4760,8455,4750,8455,4749,8456,4737,8456,4731xm8415,4650l8391,4650,8380,4655,8362,4674,8358,4686,8358,4716,8362,4728,8370,4737,8379,4746,8390,4751,8410,4751,8417,4749,8423,4745,8429,4741,8434,4737,8436,4734,8398,4734,8391,4731,8385,4725,8380,4719,8376,4711,8376,4691,8380,4682,8392,4669,8399,4666,8442,4666,8440,4664,8424,4653,8415,4650xm8442,4666l8415,4666,8422,4669,8433,4681,8436,4689,8436,4711,8433,4719,8428,4725,8422,4731,8415,4734,8436,4734,8438,4731,8456,4731,8457,4725,8456,4716,8456,4710,8455,4699,8453,4689,8450,4681,8446,4671,8442,4666xe" filled="true" fillcolor="#000000" stroked="false">
              <v:path arrowok="t"/>
              <v:fill type="solid"/>
            </v:shape>
            <v:line style="position:absolute" from="8957,4481" to="8957,4568" stroked="true" strokeweight=".626712pt" strokecolor="#000000">
              <v:stroke dashstyle="solid"/>
            </v:line>
            <v:shape style="position:absolute;left:8858;top:4650;width:205;height:154" type="#_x0000_t75" stroked="false">
              <v:imagedata r:id="rId21" o:title=""/>
            </v:shape>
            <v:line style="position:absolute" from="9503,4481" to="9503,4568" stroked="true" strokeweight=".626712pt" strokecolor="#000000">
              <v:stroke dashstyle="solid"/>
            </v:line>
            <v:shape style="position:absolute;left:9412;top:4650;width:160;height:152" type="#_x0000_t75" stroked="false">
              <v:imagedata r:id="rId22" o:title=""/>
            </v:shape>
            <v:line style="position:absolute" from="10050,4481" to="10050,4568" stroked="true" strokeweight=".626712pt" strokecolor="#000000">
              <v:stroke dashstyle="solid"/>
            </v:line>
            <v:shape style="position:absolute;left:9951;top:4650;width:204;height:152" type="#_x0000_t75" stroked="false">
              <v:imagedata r:id="rId23" o:title=""/>
            </v:shape>
            <v:shape style="position:absolute;left:5995;top:4863;width:1544;height:198" type="#_x0000_t75" stroked="false">
              <v:imagedata r:id="rId24" o:title=""/>
            </v:shape>
            <v:rect style="position:absolute;left:3456;top:5752;width:6627;height:406" filled="true" fillcolor="#ffffff" stroked="false">
              <v:fill type="solid"/>
            </v:rect>
            <v:rect style="position:absolute;left:3463;top:5758;width:6615;height:393" filled="false" stroked="true" strokeweight=".626672pt" strokecolor="#000000">
              <v:stroke dashstyle="solid"/>
            </v:rect>
            <v:line style="position:absolute" from="3551,5955" to="4366,5955" stroked="true" strokeweight=".940003pt" strokecolor="#1a466e">
              <v:stroke dashstyle="solid"/>
            </v:line>
            <v:line style="position:absolute" from="7014,5955" to="7829,5955" stroked="true" strokeweight=".940003pt" strokecolor="#90353a">
              <v:stroke dashstyle="solid"/>
            </v:line>
            <v:shape style="position:absolute;left:4501;top:5895;width:2141;height:160" type="#_x0000_t75" stroked="false">
              <v:imagedata r:id="rId25" o:title=""/>
            </v:shape>
            <v:shape style="position:absolute;left:7964;top:5897;width:1955;height:158" type="#_x0000_t75" stroked="false">
              <v:imagedata r:id="rId26" o:title=""/>
            </v:shape>
            <v:shape style="position:absolute;left:5041;top:459;width:3455;height:279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 w:before="1"/>
        <w:ind w:left="480" w:right="636" w:firstLine="720"/>
        <w:jc w:val="both"/>
      </w:pPr>
      <w:r>
        <w:rPr>
          <w:spacing w:val="-1"/>
        </w:rPr>
        <w:t>Resultados</w:t>
      </w:r>
      <w:r>
        <w:rPr>
          <w:spacing w:val="-14"/>
        </w:rPr>
        <w:t> </w:t>
      </w:r>
      <w:r>
        <w:rPr>
          <w:spacing w:val="-1"/>
        </w:rPr>
        <w:t>similares</w:t>
      </w:r>
      <w:r>
        <w:rPr>
          <w:spacing w:val="-14"/>
        </w:rPr>
        <w:t> </w:t>
      </w:r>
      <w:r>
        <w:rPr/>
        <w:t>se</w:t>
      </w:r>
      <w:r>
        <w:rPr>
          <w:spacing w:val="-10"/>
        </w:rPr>
        <w:t> </w:t>
      </w:r>
      <w:r>
        <w:rPr/>
        <w:t>observaron</w:t>
      </w:r>
      <w:r>
        <w:rPr>
          <w:spacing w:val="-16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9"/>
        </w:rPr>
        <w:t> </w:t>
      </w:r>
      <w:r>
        <w:rPr/>
        <w:t>desenlace</w:t>
      </w:r>
      <w:r>
        <w:rPr>
          <w:spacing w:val="-10"/>
        </w:rPr>
        <w:t> </w:t>
      </w:r>
      <w:r>
        <w:rPr/>
        <w:t>de</w:t>
      </w:r>
      <w:r>
        <w:rPr>
          <w:spacing w:val="-15"/>
        </w:rPr>
        <w:t> </w:t>
      </w:r>
      <w:r>
        <w:rPr/>
        <w:t>sobrevida</w:t>
      </w:r>
      <w:r>
        <w:rPr>
          <w:spacing w:val="-14"/>
        </w:rPr>
        <w:t> </w:t>
      </w:r>
      <w:r>
        <w:rPr/>
        <w:t>libre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enfermedad</w:t>
      </w:r>
      <w:r>
        <w:rPr>
          <w:spacing w:val="-58"/>
        </w:rPr>
        <w:t> </w:t>
      </w:r>
      <w:r>
        <w:rPr/>
        <w:t>al comparar con cuatrienios; se encontró que pertenecer al segundo cuatrienio aumenta 1,7</w:t>
      </w:r>
      <w:r>
        <w:rPr>
          <w:spacing w:val="1"/>
        </w:rPr>
        <w:t> </w:t>
      </w:r>
      <w:r>
        <w:rPr/>
        <w:t>veces las probabilidades de presentar sobrevida libre de enfermedad a los 12 meses de</w:t>
      </w:r>
      <w:r>
        <w:rPr>
          <w:spacing w:val="1"/>
        </w:rPr>
        <w:t> </w:t>
      </w:r>
      <w:r>
        <w:rPr/>
        <w:t>seguimiento, en comparación con el primero (HR 1,7; IC 95% 0,88-3,43, p=1,27), sin que</w:t>
      </w:r>
      <w:r>
        <w:rPr>
          <w:spacing w:val="1"/>
        </w:rPr>
        <w:t> </w:t>
      </w:r>
      <w:r>
        <w:rPr/>
        <w:t>estos</w:t>
      </w:r>
      <w:r>
        <w:rPr>
          <w:spacing w:val="-3"/>
        </w:rPr>
        <w:t> </w:t>
      </w:r>
      <w:r>
        <w:rPr/>
        <w:t>hallazgos</w:t>
      </w:r>
      <w:r>
        <w:rPr>
          <w:spacing w:val="-3"/>
        </w:rPr>
        <w:t> </w:t>
      </w:r>
      <w:r>
        <w:rPr/>
        <w:t>fuesen</w:t>
      </w:r>
      <w:r>
        <w:rPr>
          <w:spacing w:val="-1"/>
        </w:rPr>
        <w:t> </w:t>
      </w:r>
      <w:r>
        <w:rPr/>
        <w:t>estadísticamente</w:t>
      </w:r>
      <w:r>
        <w:rPr>
          <w:spacing w:val="1"/>
        </w:rPr>
        <w:t> </w:t>
      </w:r>
      <w:r>
        <w:rPr/>
        <w:t>significativos.</w:t>
      </w:r>
      <w:r>
        <w:rPr>
          <w:spacing w:val="58"/>
        </w:rPr>
        <w:t> </w:t>
      </w:r>
      <w:r>
        <w:rPr/>
        <w:t>(Figura</w:t>
      </w:r>
      <w:r>
        <w:rPr>
          <w:spacing w:val="11"/>
        </w:rPr>
        <w:t> </w:t>
      </w:r>
      <w:r>
        <w:rPr/>
        <w:t>4,</w:t>
      </w:r>
      <w:r>
        <w:rPr>
          <w:spacing w:val="-1"/>
        </w:rPr>
        <w:t> </w:t>
      </w:r>
      <w:r>
        <w:rPr/>
        <w:t>tabla 7)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31" w:id="53"/>
      <w:bookmarkEnd w:id="53"/>
      <w:r>
        <w:rPr/>
      </w:r>
      <w:r>
        <w:rPr>
          <w:i/>
          <w:color w:val="44536A"/>
          <w:sz w:val="24"/>
        </w:rPr>
        <w:t>Figura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4.</w:t>
      </w:r>
    </w:p>
    <w:p>
      <w:pPr>
        <w:spacing w:before="200"/>
        <w:ind w:left="480" w:right="648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Comparación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de sobrevida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libre de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enfermedad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al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año,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los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pacientes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atendidos</w:t>
      </w:r>
      <w:r>
        <w:rPr>
          <w:i/>
          <w:color w:val="44536A"/>
          <w:spacing w:val="-7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la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FOSCAL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con diagnóstico de LLA, en los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periodos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2013-2016 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2017-2020.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7"/>
        </w:rPr>
      </w:pPr>
    </w:p>
    <w:p>
      <w:pPr>
        <w:pStyle w:val="BodyText"/>
        <w:spacing w:line="480" w:lineRule="auto"/>
        <w:ind w:left="480" w:right="636" w:firstLine="720"/>
        <w:jc w:val="both"/>
      </w:pPr>
      <w:r>
        <w:rPr/>
        <w:t>Al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clínicas,</w:t>
      </w:r>
      <w:r>
        <w:rPr>
          <w:spacing w:val="1"/>
        </w:rPr>
        <w:t> </w:t>
      </w:r>
      <w:r>
        <w:rPr/>
        <w:t>sociodemográficas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inmunofenotípicas presentes al diagnóstico con recaída y mortalidad al año, se encontró que</w:t>
      </w:r>
      <w:r>
        <w:rPr>
          <w:spacing w:val="-58"/>
        </w:rPr>
        <w:t> </w:t>
      </w:r>
      <w:r>
        <w:rPr/>
        <w:t>tres variables se asociaron significativamente con riesgo de mortalidad: la edad mayor a 35</w:t>
      </w:r>
      <w:r>
        <w:rPr>
          <w:spacing w:val="1"/>
        </w:rPr>
        <w:t> </w:t>
      </w:r>
      <w:r>
        <w:rPr/>
        <w:t>años,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presencia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diabetes</w:t>
      </w:r>
      <w:r>
        <w:rPr>
          <w:spacing w:val="-8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diagnóstico</w:t>
      </w:r>
      <w:r>
        <w:rPr>
          <w:spacing w:val="-10"/>
        </w:rPr>
        <w:t> </w:t>
      </w:r>
      <w:r>
        <w:rPr/>
        <w:t>se</w:t>
      </w:r>
      <w:r>
        <w:rPr>
          <w:spacing w:val="-14"/>
        </w:rPr>
        <w:t> </w:t>
      </w:r>
      <w:r>
        <w:rPr/>
        <w:t>realizara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8"/>
        </w:rPr>
        <w:t> </w:t>
      </w:r>
      <w:r>
        <w:rPr/>
        <w:t>institucional</w:t>
      </w:r>
      <w:r>
        <w:rPr>
          <w:spacing w:val="-13"/>
        </w:rPr>
        <w:t> </w:t>
      </w:r>
      <w:r>
        <w:rPr/>
        <w:t>(figura</w:t>
      </w:r>
      <w:r>
        <w:rPr>
          <w:spacing w:val="-58"/>
        </w:rPr>
        <w:t> </w:t>
      </w:r>
      <w:r>
        <w:rPr/>
        <w:t>5, 6, tabla</w:t>
      </w:r>
      <w:r>
        <w:rPr>
          <w:spacing w:val="1"/>
        </w:rPr>
        <w:t> </w:t>
      </w:r>
      <w:r>
        <w:rPr/>
        <w:t>7)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32" w:id="54"/>
      <w:bookmarkEnd w:id="54"/>
      <w:r>
        <w:rPr/>
      </w:r>
      <w:r>
        <w:rPr>
          <w:i/>
          <w:color w:val="44536A"/>
          <w:sz w:val="24"/>
        </w:rPr>
        <w:t>Figura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5.</w:t>
      </w:r>
    </w:p>
    <w:p>
      <w:pPr>
        <w:spacing w:before="200"/>
        <w:ind w:left="480" w:right="648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Forrest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plot.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Asociación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entre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variables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sociodemográficas,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clínicas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inmunofenotípicas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con mortalidad, en pacientes atendidos con diagnóstico de LLA en la FOSCAL en el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periodo 2013-2020.</w:t>
      </w:r>
    </w:p>
    <w:p>
      <w:pPr>
        <w:pStyle w:val="BodyText"/>
        <w:spacing w:before="2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1083157</wp:posOffset>
            </wp:positionH>
            <wp:positionV relativeFrom="paragraph">
              <wp:posOffset>128569</wp:posOffset>
            </wp:positionV>
            <wp:extent cx="5832375" cy="4850320"/>
            <wp:effectExtent l="0" t="0" r="0" b="0"/>
            <wp:wrapTopAndBottom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75" cy="485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2" w:after="1"/>
        <w:rPr>
          <w:i/>
          <w:sz w:val="9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712244" cy="5029962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244" cy="50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3"/>
        <w:rPr>
          <w:i/>
          <w:sz w:val="9"/>
        </w:rPr>
      </w:pP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778657" cy="5658707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57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7"/>
        <w:rPr>
          <w:i/>
          <w:sz w:val="9"/>
        </w:rPr>
      </w:pP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760032" cy="5299424"/>
            <wp:effectExtent l="0" t="0" r="0" b="0"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32" cy="529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33" w:id="55"/>
      <w:bookmarkEnd w:id="55"/>
      <w:r>
        <w:rPr/>
      </w:r>
      <w:r>
        <w:rPr>
          <w:i/>
          <w:sz w:val="24"/>
        </w:rPr>
        <w:t>Tabla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7.</w:t>
      </w:r>
    </w:p>
    <w:p>
      <w:pPr>
        <w:spacing w:before="200"/>
        <w:ind w:left="480" w:right="808" w:firstLine="0"/>
        <w:jc w:val="left"/>
        <w:rPr>
          <w:i/>
          <w:sz w:val="24"/>
        </w:rPr>
      </w:pPr>
      <w:r>
        <w:rPr>
          <w:i/>
          <w:sz w:val="24"/>
        </w:rPr>
        <w:t>Asociación entre variables sociodemográficas, clínicas e inmunofenotípicas 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mortalidad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recaída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meses,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pacientes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atendidos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diagnóstico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FOSCAL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 el periodo 2013-2020.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  <w:sz w:val="21"/>
        </w:r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837"/>
        <w:gridCol w:w="852"/>
      </w:tblGrid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Hazard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ratio (95% IC)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0" w:right="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4249" w:type="dxa"/>
            <w:shd w:val="clear" w:color="auto" w:fill="D0CECE"/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Riesgo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muerte 12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meses</w:t>
            </w:r>
          </w:p>
        </w:tc>
        <w:tc>
          <w:tcPr>
            <w:tcW w:w="2837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70"/>
              <w:rPr>
                <w:sz w:val="24"/>
              </w:rPr>
            </w:pPr>
            <w:r>
              <w:rPr>
                <w:sz w:val="24"/>
              </w:rPr>
              <w:t>Segundo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cuatrienio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(0,79-2,85)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0,204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70"/>
              <w:rPr>
                <w:sz w:val="24"/>
              </w:rPr>
            </w:pPr>
            <w:r>
              <w:rPr>
                <w:sz w:val="24"/>
              </w:rPr>
              <w:t>Sexo femenino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0,9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(0,51-1,76)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70"/>
              <w:rPr>
                <w:sz w:val="24"/>
              </w:rPr>
            </w:pPr>
            <w:r>
              <w:rPr>
                <w:sz w:val="24"/>
              </w:rPr>
              <w:t>Diagnóstico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institucional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2,39 (1,14-5,02)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before="2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Edad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&gt;35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años</w:t>
            </w:r>
          </w:p>
        </w:tc>
        <w:tc>
          <w:tcPr>
            <w:tcW w:w="2837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2,15 (1,14-4,03)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left="0"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0,017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before="2"/>
              <w:ind w:left="70"/>
              <w:rPr>
                <w:sz w:val="24"/>
              </w:rPr>
            </w:pPr>
            <w:r>
              <w:rPr>
                <w:sz w:val="24"/>
              </w:rPr>
              <w:t>Leucocitos</w:t>
            </w:r>
          </w:p>
        </w:tc>
        <w:tc>
          <w:tcPr>
            <w:tcW w:w="2837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0,813 (0,39-1,66)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Diabetes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3,68 (1,54-8,8)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0"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0,003</w:t>
            </w:r>
          </w:p>
        </w:tc>
      </w:tr>
      <w:tr>
        <w:trPr>
          <w:trHeight w:val="830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Trasplante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progenitores</w:t>
            </w:r>
          </w:p>
          <w:p>
            <w:pPr>
              <w:pStyle w:val="TableParagraph"/>
              <w:spacing w:before="136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hematopoyéticos</w:t>
            </w:r>
          </w:p>
        </w:tc>
        <w:tc>
          <w:tcPr>
            <w:tcW w:w="2837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0,12 (0,37-0,39)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0"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&lt;0,01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Respuesta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(0,95-2,5)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IMC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&gt;30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0,99 (0,72-1,36)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14" w:hRule="atLeast"/>
        </w:trPr>
        <w:tc>
          <w:tcPr>
            <w:tcW w:w="4249" w:type="dxa"/>
            <w:shd w:val="clear" w:color="auto" w:fill="D0CECE"/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Riesgo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recaída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meses</w:t>
            </w:r>
          </w:p>
        </w:tc>
        <w:tc>
          <w:tcPr>
            <w:tcW w:w="2837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shd w:val="clear" w:color="auto" w:fill="D0CECE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Segundo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cuatrienio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6,6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(0,822-54,38)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0,076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Sexo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masculino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(0,31-5,43)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0,720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Diagnóstico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institucional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(0,30-5,30)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Edad &gt;35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años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(0,37-5,93)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0,577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Leucocitos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0,33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(0,38-2,8)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0,315</w:t>
            </w:r>
          </w:p>
        </w:tc>
      </w:tr>
      <w:tr>
        <w:trPr>
          <w:trHeight w:val="413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Trasplante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progenitores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hematopoyéticos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0,63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(0,15-2,64)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0,529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Respuesta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0,47 (0,13-1,47)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10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IMC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&gt;30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2,22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(0,45-11,05)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0,327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34" w:id="56"/>
      <w:bookmarkEnd w:id="56"/>
      <w:r>
        <w:rPr/>
      </w:r>
      <w:r>
        <w:rPr>
          <w:i/>
          <w:color w:val="44536A"/>
          <w:sz w:val="24"/>
        </w:rPr>
        <w:t>Figura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6.</w:t>
      </w:r>
    </w:p>
    <w:p>
      <w:pPr>
        <w:spacing w:before="200"/>
        <w:ind w:left="480" w:right="414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Sobrevida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12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meses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pacientes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con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diagnóstico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de LLA atendidos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FOSCAL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el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periodo 2013-2020, basado en presentar edad mayor o igual a 35 años al momento del</w:t>
      </w:r>
      <w:r>
        <w:rPr>
          <w:i/>
          <w:color w:val="44536A"/>
          <w:spacing w:val="1"/>
          <w:sz w:val="24"/>
        </w:rPr>
        <w:t> </w:t>
      </w:r>
      <w:r>
        <w:rPr>
          <w:i/>
          <w:color w:val="44536A"/>
          <w:sz w:val="24"/>
        </w:rPr>
        <w:t>diagnóstico.</w:t>
      </w:r>
    </w:p>
    <w:p>
      <w:pPr>
        <w:pStyle w:val="BodyText"/>
        <w:spacing w:before="2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1416303</wp:posOffset>
            </wp:positionH>
            <wp:positionV relativeFrom="paragraph">
              <wp:posOffset>128442</wp:posOffset>
            </wp:positionV>
            <wp:extent cx="4921677" cy="3579114"/>
            <wp:effectExtent l="0" t="0" r="0" b="0"/>
            <wp:wrapTopAndBottom/>
            <wp:docPr id="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77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480" w:lineRule="auto"/>
        <w:ind w:left="480" w:right="642" w:firstLine="720"/>
        <w:jc w:val="both"/>
      </w:pPr>
      <w:r>
        <w:rPr/>
        <w:t>Por</w:t>
      </w:r>
      <w:r>
        <w:rPr>
          <w:spacing w:val="-14"/>
        </w:rPr>
        <w:t> </w:t>
      </w:r>
      <w:r>
        <w:rPr/>
        <w:t>otro</w:t>
      </w:r>
      <w:r>
        <w:rPr>
          <w:spacing w:val="-14"/>
        </w:rPr>
        <w:t> </w:t>
      </w:r>
      <w:r>
        <w:rPr/>
        <w:t>lado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encontró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asociación</w:t>
      </w:r>
      <w:r>
        <w:rPr>
          <w:spacing w:val="-14"/>
        </w:rPr>
        <w:t> </w:t>
      </w:r>
      <w:r>
        <w:rPr/>
        <w:t>protectora</w:t>
      </w:r>
      <w:r>
        <w:rPr>
          <w:spacing w:val="-13"/>
        </w:rPr>
        <w:t> </w:t>
      </w:r>
      <w:r>
        <w:rPr/>
        <w:t>estadísticamente</w:t>
      </w:r>
      <w:r>
        <w:rPr>
          <w:spacing w:val="-13"/>
        </w:rPr>
        <w:t> </w:t>
      </w:r>
      <w:r>
        <w:rPr/>
        <w:t>significativa</w:t>
      </w:r>
      <w:r>
        <w:rPr>
          <w:spacing w:val="-13"/>
        </w:rPr>
        <w:t> </w:t>
      </w:r>
      <w:r>
        <w:rPr/>
        <w:t>con</w:t>
      </w:r>
      <w:r>
        <w:rPr>
          <w:spacing w:val="-57"/>
        </w:rPr>
        <w:t> </w:t>
      </w:r>
      <w:r>
        <w:rPr/>
        <w:t>la</w:t>
      </w:r>
      <w:r>
        <w:rPr>
          <w:spacing w:val="-4"/>
        </w:rPr>
        <w:t> </w:t>
      </w:r>
      <w:r>
        <w:rPr/>
        <w:t>realización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trasplante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progenitores</w:t>
      </w:r>
      <w:r>
        <w:rPr>
          <w:spacing w:val="-6"/>
        </w:rPr>
        <w:t> </w:t>
      </w:r>
      <w:r>
        <w:rPr/>
        <w:t>hematopoyéticos.</w:t>
      </w:r>
      <w:r>
        <w:rPr>
          <w:spacing w:val="-6"/>
        </w:rPr>
        <w:t> </w:t>
      </w:r>
      <w:r>
        <w:rPr/>
        <w:t>Así,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fueron</w:t>
      </w:r>
      <w:r>
        <w:rPr>
          <w:spacing w:val="-58"/>
        </w:rPr>
        <w:t> </w:t>
      </w:r>
      <w:r>
        <w:rPr/>
        <w:t>sometidos a trasplante se observó que existe un 88% menos de probabilidad de presentar</w:t>
      </w:r>
      <w:r>
        <w:rPr>
          <w:spacing w:val="1"/>
        </w:rPr>
        <w:t> </w:t>
      </w:r>
      <w:r>
        <w:rPr/>
        <w:t>muerte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12 meses</w:t>
      </w:r>
      <w:r>
        <w:rPr>
          <w:spacing w:val="-2"/>
        </w:rPr>
        <w:t> </w:t>
      </w:r>
      <w:r>
        <w:rPr/>
        <w:t>(HR 0,12; IC 95% 0,37-0,39, p= &lt;0,01) (Tabla 7, Figura</w:t>
      </w:r>
      <w:r>
        <w:rPr>
          <w:spacing w:val="2"/>
        </w:rPr>
        <w:t> </w:t>
      </w:r>
      <w:r>
        <w:rPr/>
        <w:t>7)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spacing w:before="100"/>
        <w:ind w:left="480" w:right="0" w:firstLine="0"/>
        <w:jc w:val="left"/>
        <w:rPr>
          <w:i/>
          <w:sz w:val="24"/>
        </w:rPr>
      </w:pPr>
      <w:bookmarkStart w:name="_bookmark35" w:id="57"/>
      <w:bookmarkEnd w:id="57"/>
      <w:r>
        <w:rPr/>
      </w:r>
      <w:r>
        <w:rPr>
          <w:i/>
          <w:color w:val="44536A"/>
          <w:sz w:val="24"/>
        </w:rPr>
        <w:t>Figura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7.</w:t>
      </w:r>
    </w:p>
    <w:p>
      <w:pPr>
        <w:spacing w:before="200"/>
        <w:ind w:left="480" w:right="414" w:firstLine="0"/>
        <w:jc w:val="left"/>
        <w:rPr>
          <w:i/>
          <w:sz w:val="18"/>
        </w:rPr>
      </w:pPr>
      <w:r>
        <w:rPr>
          <w:i/>
          <w:color w:val="44536A"/>
          <w:sz w:val="24"/>
        </w:rPr>
        <w:t>Sobrevida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12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meses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pacientes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con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diagnóstico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de LLA atendidos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FOSCAL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en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el</w:t>
      </w:r>
      <w:r>
        <w:rPr>
          <w:i/>
          <w:color w:val="44536A"/>
          <w:spacing w:val="-57"/>
          <w:sz w:val="24"/>
        </w:rPr>
        <w:t> </w:t>
      </w:r>
      <w:r>
        <w:rPr>
          <w:i/>
          <w:color w:val="44536A"/>
          <w:sz w:val="24"/>
        </w:rPr>
        <w:t>periodo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2013-2020,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basado 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la realización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de</w:t>
      </w:r>
      <w:r>
        <w:rPr>
          <w:i/>
          <w:color w:val="44536A"/>
          <w:spacing w:val="3"/>
          <w:sz w:val="24"/>
        </w:rPr>
        <w:t> </w:t>
      </w:r>
      <w:r>
        <w:rPr>
          <w:i/>
          <w:color w:val="44536A"/>
          <w:sz w:val="24"/>
        </w:rPr>
        <w:t>trasplantes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hematopoyéticos</w:t>
      </w:r>
      <w:r>
        <w:rPr>
          <w:i/>
          <w:color w:val="44536A"/>
          <w:sz w:val="18"/>
        </w:rPr>
        <w:t>.</w:t>
      </w:r>
    </w:p>
    <w:p>
      <w:pPr>
        <w:pStyle w:val="BodyText"/>
        <w:spacing w:before="2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1212850</wp:posOffset>
            </wp:positionH>
            <wp:positionV relativeFrom="paragraph">
              <wp:posOffset>128427</wp:posOffset>
            </wp:positionV>
            <wp:extent cx="5324301" cy="3872484"/>
            <wp:effectExtent l="0" t="0" r="0" b="0"/>
            <wp:wrapTopAndBottom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301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100" w:after="0"/>
        <w:ind w:left="1201" w:right="0" w:hanging="361"/>
        <w:jc w:val="left"/>
      </w:pPr>
      <w:bookmarkStart w:name="_bookmark36" w:id="58"/>
      <w:bookmarkEnd w:id="58"/>
      <w:r>
        <w:rPr>
          <w:b w:val="0"/>
        </w:rPr>
      </w:r>
      <w:bookmarkStart w:name="_bookmark36" w:id="59"/>
      <w:bookmarkEnd w:id="59"/>
      <w:r>
        <w:rPr/>
        <w:t>D</w:t>
      </w:r>
      <w:r>
        <w:rPr/>
        <w:t>iscusión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633" w:firstLine="720"/>
        <w:jc w:val="both"/>
      </w:pP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clínica</w:t>
      </w:r>
      <w:r>
        <w:rPr>
          <w:spacing w:val="-11"/>
        </w:rPr>
        <w:t> </w:t>
      </w:r>
      <w:r>
        <w:rPr>
          <w:spacing w:val="-1"/>
        </w:rPr>
        <w:t>FOSCAL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centro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referencia</w:t>
      </w:r>
      <w:r>
        <w:rPr>
          <w:spacing w:val="-15"/>
        </w:rPr>
        <w:t> </w:t>
      </w:r>
      <w:r>
        <w:rPr/>
        <w:t>hematológico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nor-oriente</w:t>
      </w:r>
      <w:r>
        <w:rPr>
          <w:spacing w:val="-11"/>
        </w:rPr>
        <w:t> </w:t>
      </w:r>
      <w:r>
        <w:rPr/>
        <w:t>Colombiano</w:t>
      </w:r>
      <w:r>
        <w:rPr>
          <w:spacing w:val="-57"/>
        </w:rPr>
        <w:t> </w:t>
      </w:r>
      <w:r>
        <w:rPr/>
        <w:t>y cuenta con un grupo de trabajo que está en constante fortalecimiento y actualización. Este</w:t>
      </w:r>
      <w:r>
        <w:rPr>
          <w:spacing w:val="-57"/>
        </w:rPr>
        <w:t> </w:t>
      </w:r>
      <w:r>
        <w:rPr/>
        <w:t>fue un estudio observacional tipo cohorte retrospectivo, cuyo objetivo fue comparar la</w:t>
      </w:r>
      <w:r>
        <w:rPr>
          <w:spacing w:val="1"/>
        </w:rPr>
        <w:t> </w:t>
      </w:r>
      <w:r>
        <w:rPr/>
        <w:t>mortalidad y sobrevida libre de enfermedad por cuatrienios de los adultos atendidos en la</w:t>
      </w:r>
      <w:r>
        <w:rPr>
          <w:spacing w:val="1"/>
        </w:rPr>
        <w:t> </w:t>
      </w:r>
      <w:r>
        <w:rPr/>
        <w:t>FOSCAL en el periodo 2013-2020.</w:t>
      </w:r>
    </w:p>
    <w:p>
      <w:pPr>
        <w:pStyle w:val="BodyText"/>
        <w:spacing w:line="480" w:lineRule="auto" w:before="1"/>
        <w:ind w:left="480" w:right="637" w:firstLine="720"/>
        <w:jc w:val="both"/>
      </w:pPr>
      <w:r>
        <w:rPr/>
        <w:t>Esta</w:t>
      </w:r>
      <w:r>
        <w:rPr>
          <w:spacing w:val="-2"/>
        </w:rPr>
        <w:t> </w:t>
      </w:r>
      <w:r>
        <w:rPr/>
        <w:t>comparación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llevó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3"/>
        </w:rPr>
        <w:t> </w:t>
      </w:r>
      <w:r>
        <w:rPr/>
        <w:t>partiendo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dos</w:t>
      </w:r>
      <w:r>
        <w:rPr>
          <w:spacing w:val="-4"/>
        </w:rPr>
        <w:t> </w:t>
      </w:r>
      <w:r>
        <w:rPr/>
        <w:t>acontecimientos</w:t>
      </w:r>
      <w:r>
        <w:rPr>
          <w:spacing w:val="-4"/>
        </w:rPr>
        <w:t> </w:t>
      </w:r>
      <w:r>
        <w:rPr/>
        <w:t>importantes</w:t>
      </w:r>
      <w:r>
        <w:rPr>
          <w:spacing w:val="-4"/>
        </w:rPr>
        <w:t> </w:t>
      </w:r>
      <w:r>
        <w:rPr/>
        <w:t>para</w:t>
      </w:r>
      <w:r>
        <w:rPr>
          <w:spacing w:val="-58"/>
        </w:rPr>
        <w:t> </w:t>
      </w:r>
      <w:r>
        <w:rPr/>
        <w:t>el grupo de hematología FOSCAL en el año 2016, los cuales fueron la introducción de la</w:t>
      </w:r>
      <w:r>
        <w:rPr>
          <w:spacing w:val="1"/>
        </w:rPr>
        <w:t> </w:t>
      </w:r>
      <w:r>
        <w:rPr/>
        <w:t>medición de la enfermedad mínima residual por citometría de flujo a nivel institucional y la</w:t>
      </w:r>
      <w:r>
        <w:rPr>
          <w:spacing w:val="-57"/>
        </w:rPr>
        <w:t> </w:t>
      </w:r>
      <w:r>
        <w:rPr/>
        <w:t>inclusión del blinatumumab para el tratamiento de pacientes con LLA refractarios o en</w:t>
      </w:r>
      <w:r>
        <w:rPr>
          <w:spacing w:val="1"/>
        </w:rPr>
        <w:t> </w:t>
      </w:r>
      <w:r>
        <w:rPr/>
        <w:t>recaída.</w:t>
      </w:r>
    </w:p>
    <w:p>
      <w:pPr>
        <w:pStyle w:val="BodyText"/>
        <w:spacing w:line="480" w:lineRule="auto" w:before="1"/>
        <w:ind w:left="480" w:right="635" w:firstLine="720"/>
        <w:jc w:val="both"/>
      </w:pPr>
      <w:r>
        <w:rPr/>
        <w:t>De los 128 pacientes incluidos en este estudio, predominó el género masculino</w:t>
      </w:r>
      <w:r>
        <w:rPr>
          <w:spacing w:val="1"/>
        </w:rPr>
        <w:t> </w:t>
      </w:r>
      <w:r>
        <w:rPr/>
        <w:t>(53,91%), con una edad media al momento del diagnóstico de 34,6 años (DS 18,3), en su</w:t>
      </w:r>
      <w:r>
        <w:rPr>
          <w:spacing w:val="1"/>
        </w:rPr>
        <w:t> </w:t>
      </w:r>
      <w:r>
        <w:rPr/>
        <w:t>mayoría pacientes en edad laboral y quienes se desempeñaban como independientes o</w:t>
      </w:r>
      <w:r>
        <w:rPr>
          <w:spacing w:val="1"/>
        </w:rPr>
        <w:t> </w:t>
      </w:r>
      <w:r>
        <w:rPr/>
        <w:t>asalariados</w:t>
      </w:r>
      <w:r>
        <w:rPr>
          <w:spacing w:val="-7"/>
        </w:rPr>
        <w:t> </w:t>
      </w:r>
      <w:r>
        <w:rPr/>
        <w:t>(40,63%).</w:t>
      </w:r>
      <w:r>
        <w:rPr>
          <w:spacing w:val="-5"/>
        </w:rPr>
        <w:t> </w:t>
      </w:r>
      <w:r>
        <w:rPr/>
        <w:t>Estos</w:t>
      </w:r>
      <w:r>
        <w:rPr>
          <w:spacing w:val="-7"/>
        </w:rPr>
        <w:t> </w:t>
      </w:r>
      <w:r>
        <w:rPr/>
        <w:t>datos</w:t>
      </w:r>
      <w:r>
        <w:rPr>
          <w:spacing w:val="-6"/>
        </w:rPr>
        <w:t> </w:t>
      </w:r>
      <w:r>
        <w:rPr/>
        <w:t>coinciden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reportados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literatura</w:t>
      </w:r>
      <w:r>
        <w:rPr>
          <w:spacing w:val="-4"/>
        </w:rPr>
        <w:t> </w:t>
      </w:r>
      <w:r>
        <w:rPr/>
        <w:t>internacional,</w:t>
      </w:r>
      <w:r>
        <w:rPr>
          <w:spacing w:val="-58"/>
        </w:rPr>
        <w:t> </w:t>
      </w:r>
      <w:r>
        <w:rPr/>
        <w:t>que describe promedios de edad de 36 años y ligero predominio por el sexo masculino (51 -</w:t>
      </w:r>
      <w:r>
        <w:rPr>
          <w:spacing w:val="-57"/>
        </w:rPr>
        <w:t> </w:t>
      </w:r>
      <w:r>
        <w:rPr/>
        <w:t>53.8%)(24).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mayoría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pacientes</w:t>
      </w:r>
      <w:r>
        <w:rPr>
          <w:spacing w:val="-10"/>
        </w:rPr>
        <w:t> </w:t>
      </w:r>
      <w:r>
        <w:rPr/>
        <w:t>tenían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ECOG</w:t>
      </w:r>
      <w:r>
        <w:rPr>
          <w:spacing w:val="-10"/>
        </w:rPr>
        <w:t> </w:t>
      </w:r>
      <w:r>
        <w:rPr/>
        <w:t>entre</w:t>
      </w:r>
      <w:r>
        <w:rPr>
          <w:spacing w:val="-6"/>
        </w:rPr>
        <w:t> </w:t>
      </w:r>
      <w:r>
        <w:rPr/>
        <w:t>0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1,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cual</w:t>
      </w:r>
      <w:r>
        <w:rPr>
          <w:spacing w:val="-7"/>
        </w:rPr>
        <w:t> </w:t>
      </w:r>
      <w:r>
        <w:rPr/>
        <w:t>está</w:t>
      </w:r>
      <w:r>
        <w:rPr>
          <w:spacing w:val="-6"/>
        </w:rPr>
        <w:t> </w:t>
      </w:r>
      <w:r>
        <w:rPr/>
        <w:t>acorde</w:t>
      </w:r>
      <w:r>
        <w:rPr>
          <w:spacing w:val="-7"/>
        </w:rPr>
        <w:t> </w:t>
      </w:r>
      <w:r>
        <w:rPr/>
        <w:t>con</w:t>
      </w:r>
      <w:r>
        <w:rPr>
          <w:spacing w:val="-57"/>
        </w:rPr>
        <w:t> </w:t>
      </w:r>
      <w:r>
        <w:rPr/>
        <w:t>la edad de presentación de la enfermedad de los pacientes estudiados. De las características</w:t>
      </w:r>
      <w:r>
        <w:rPr>
          <w:spacing w:val="1"/>
        </w:rPr>
        <w:t> </w:t>
      </w:r>
      <w:r>
        <w:rPr/>
        <w:t>clínicas presentes al diagnóstico, es llamativo que la mayoría de pacientes se encontraba en</w:t>
      </w:r>
      <w:r>
        <w:rPr>
          <w:spacing w:val="1"/>
        </w:rPr>
        <w:t> </w:t>
      </w:r>
      <w:r>
        <w:rPr/>
        <w:t>sobrepeso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obesidad</w:t>
      </w:r>
      <w:r>
        <w:rPr>
          <w:spacing w:val="-8"/>
        </w:rPr>
        <w:t> </w:t>
      </w:r>
      <w:r>
        <w:rPr/>
        <w:t>(48,48%),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cual</w:t>
      </w:r>
      <w:r>
        <w:rPr>
          <w:spacing w:val="-7"/>
        </w:rPr>
        <w:t> </w:t>
      </w:r>
      <w:r>
        <w:rPr/>
        <w:t>es</w:t>
      </w:r>
      <w:r>
        <w:rPr>
          <w:spacing w:val="-10"/>
        </w:rPr>
        <w:t> </w:t>
      </w:r>
      <w:r>
        <w:rPr/>
        <w:t>concordante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datos</w:t>
      </w:r>
      <w:r>
        <w:rPr>
          <w:spacing w:val="-10"/>
        </w:rPr>
        <w:t> </w:t>
      </w:r>
      <w:r>
        <w:rPr/>
        <w:t>disponibles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última</w:t>
      </w:r>
      <w:r>
        <w:rPr>
          <w:spacing w:val="-57"/>
        </w:rPr>
        <w:t> </w:t>
      </w:r>
      <w:r>
        <w:rPr/>
        <w:t>encuesta nacional de situación nutricional, ENSIN 2105, que reportó una frecuencia de</w:t>
      </w:r>
      <w:r>
        <w:rPr>
          <w:spacing w:val="1"/>
        </w:rPr>
        <w:t> </w:t>
      </w:r>
      <w:r>
        <w:rPr/>
        <w:t>sobrepeso</w:t>
      </w:r>
      <w:r>
        <w:rPr>
          <w:spacing w:val="-1"/>
        </w:rPr>
        <w:t> </w:t>
      </w:r>
      <w:r>
        <w:rPr/>
        <w:t>y obesidad del 56,5%</w:t>
      </w:r>
      <w:r>
        <w:rPr>
          <w:spacing w:val="-1"/>
        </w:rPr>
        <w:t> </w:t>
      </w:r>
      <w:r>
        <w:rPr/>
        <w:t>(25).</w:t>
      </w:r>
    </w:p>
    <w:p>
      <w:pPr>
        <w:pStyle w:val="BodyText"/>
        <w:spacing w:line="480" w:lineRule="auto" w:before="2"/>
        <w:ind w:left="480" w:right="634" w:firstLine="720"/>
        <w:jc w:val="both"/>
      </w:pPr>
      <w:r>
        <w:rPr/>
        <w:t>Diversas variables clínicas y paraclínicas identificadas previo al tratamiento, se han</w:t>
      </w:r>
      <w:r>
        <w:rPr>
          <w:spacing w:val="1"/>
        </w:rPr>
        <w:t> </w:t>
      </w:r>
      <w:r>
        <w:rPr/>
        <w:t>asociado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peores</w:t>
      </w:r>
      <w:r>
        <w:rPr>
          <w:spacing w:val="19"/>
        </w:rPr>
        <w:t> </w:t>
      </w:r>
      <w:r>
        <w:rPr/>
        <w:t>desenlaces.</w:t>
      </w:r>
      <w:r>
        <w:rPr>
          <w:spacing w:val="20"/>
        </w:rPr>
        <w:t> </w:t>
      </w:r>
      <w:r>
        <w:rPr/>
        <w:t>Clásicamente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18"/>
        </w:rPr>
        <w:t> </w:t>
      </w:r>
      <w:r>
        <w:rPr/>
        <w:t>relacionado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presencia</w:t>
      </w:r>
      <w:r>
        <w:rPr>
          <w:spacing w:val="21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93" w:right="643"/>
        <w:jc w:val="right"/>
      </w:pPr>
      <w:r>
        <w:rPr/>
        <w:t>hiperleucocitosis</w:t>
      </w:r>
      <w:r>
        <w:rPr>
          <w:spacing w:val="25"/>
        </w:rPr>
        <w:t> </w:t>
      </w:r>
      <w:r>
        <w:rPr/>
        <w:t>(&gt;30</w:t>
      </w:r>
      <w:r>
        <w:rPr>
          <w:spacing w:val="28"/>
        </w:rPr>
        <w:t> </w:t>
      </w:r>
      <w:r>
        <w:rPr/>
        <w:t>×</w:t>
      </w:r>
      <w:r>
        <w:rPr>
          <w:spacing w:val="28"/>
        </w:rPr>
        <w:t> </w:t>
      </w:r>
      <w:r>
        <w:rPr/>
        <w:t>10</w:t>
      </w:r>
      <w:r>
        <w:rPr>
          <w:vertAlign w:val="superscript"/>
        </w:rPr>
        <w:t>9</w:t>
      </w:r>
      <w:r>
        <w:rPr>
          <w:vertAlign w:val="baseline"/>
        </w:rPr>
        <w:t>/L)</w:t>
      </w:r>
      <w:r>
        <w:rPr>
          <w:spacing w:val="26"/>
          <w:vertAlign w:val="baseline"/>
        </w:rPr>
        <w:t> </w:t>
      </w:r>
      <w:r>
        <w:rPr>
          <w:vertAlign w:val="baseline"/>
        </w:rPr>
        <w:t>y</w:t>
      </w:r>
      <w:r>
        <w:rPr>
          <w:spacing w:val="27"/>
          <w:vertAlign w:val="baseline"/>
        </w:rPr>
        <w:t> </w:t>
      </w:r>
      <w:r>
        <w:rPr>
          <w:vertAlign w:val="baseline"/>
        </w:rPr>
        <w:t>la</w:t>
      </w:r>
      <w:r>
        <w:rPr>
          <w:spacing w:val="29"/>
          <w:vertAlign w:val="baseline"/>
        </w:rPr>
        <w:t> </w:t>
      </w:r>
      <w:r>
        <w:rPr>
          <w:vertAlign w:val="baseline"/>
        </w:rPr>
        <w:t>edad</w:t>
      </w:r>
      <w:r>
        <w:rPr>
          <w:spacing w:val="27"/>
          <w:vertAlign w:val="baseline"/>
        </w:rPr>
        <w:t> </w:t>
      </w:r>
      <w:r>
        <w:rPr>
          <w:vertAlign w:val="baseline"/>
        </w:rPr>
        <w:t>mayor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35</w:t>
      </w:r>
      <w:r>
        <w:rPr>
          <w:spacing w:val="27"/>
          <w:vertAlign w:val="baseline"/>
        </w:rPr>
        <w:t> </w:t>
      </w:r>
      <w:r>
        <w:rPr>
          <w:vertAlign w:val="baseline"/>
        </w:rPr>
        <w:t>años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vertAlign w:val="baseline"/>
        </w:rPr>
        <w:t>peores</w:t>
      </w:r>
      <w:r>
        <w:rPr>
          <w:spacing w:val="26"/>
          <w:vertAlign w:val="baseline"/>
        </w:rPr>
        <w:t> </w:t>
      </w:r>
      <w:r>
        <w:rPr>
          <w:vertAlign w:val="baseline"/>
        </w:rPr>
        <w:t>tasas</w:t>
      </w:r>
      <w:r>
        <w:rPr>
          <w:spacing w:val="26"/>
          <w:vertAlign w:val="baseline"/>
        </w:rPr>
        <w:t> </w:t>
      </w:r>
      <w:r>
        <w:rPr>
          <w:vertAlign w:val="baseline"/>
        </w:rPr>
        <w:t>de</w:t>
      </w:r>
      <w:r>
        <w:rPr>
          <w:spacing w:val="29"/>
          <w:vertAlign w:val="baseline"/>
        </w:rPr>
        <w:t> </w:t>
      </w:r>
      <w:r>
        <w:rPr>
          <w:vertAlign w:val="baseline"/>
        </w:rPr>
        <w:t>respuesta</w:t>
      </w:r>
      <w:r>
        <w:rPr>
          <w:spacing w:val="28"/>
          <w:vertAlign w:val="baseline"/>
        </w:rPr>
        <w:t> </w:t>
      </w:r>
      <w:r>
        <w:rPr>
          <w:vertAlign w:val="baseline"/>
        </w:rPr>
        <w:t>y</w:t>
      </w:r>
      <w:r>
        <w:rPr>
          <w:spacing w:val="-57"/>
          <w:vertAlign w:val="baseline"/>
        </w:rPr>
        <w:t> </w:t>
      </w:r>
      <w:r>
        <w:rPr>
          <w:vertAlign w:val="baseline"/>
        </w:rPr>
        <w:t>mortalidad</w:t>
      </w:r>
      <w:r>
        <w:rPr>
          <w:spacing w:val="16"/>
          <w:vertAlign w:val="baseline"/>
        </w:rPr>
        <w:t> </w:t>
      </w:r>
      <w:r>
        <w:rPr>
          <w:vertAlign w:val="baseline"/>
        </w:rPr>
        <w:t>(1,26–28).</w:t>
      </w:r>
      <w:r>
        <w:rPr>
          <w:spacing w:val="27"/>
          <w:vertAlign w:val="baseline"/>
        </w:rPr>
        <w:t> </w:t>
      </w:r>
      <w:r>
        <w:rPr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vertAlign w:val="baseline"/>
        </w:rPr>
        <w:t>acuerdo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vertAlign w:val="baseline"/>
        </w:rPr>
        <w:t>los</w:t>
      </w:r>
      <w:r>
        <w:rPr>
          <w:spacing w:val="14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13"/>
          <w:vertAlign w:val="baseline"/>
        </w:rPr>
        <w:t> </w:t>
      </w:r>
      <w:r>
        <w:rPr>
          <w:vertAlign w:val="baseline"/>
        </w:rPr>
        <w:t>de</w:t>
      </w:r>
      <w:r>
        <w:rPr>
          <w:spacing w:val="12"/>
          <w:vertAlign w:val="baseline"/>
        </w:rPr>
        <w:t> </w:t>
      </w:r>
      <w:r>
        <w:rPr>
          <w:vertAlign w:val="baseline"/>
        </w:rPr>
        <w:t>este</w:t>
      </w:r>
      <w:r>
        <w:rPr>
          <w:spacing w:val="11"/>
          <w:vertAlign w:val="baseline"/>
        </w:rPr>
        <w:t> </w:t>
      </w:r>
      <w:r>
        <w:rPr>
          <w:vertAlign w:val="baseline"/>
        </w:rPr>
        <w:t>estudio,</w:t>
      </w:r>
      <w:r>
        <w:rPr>
          <w:spacing w:val="14"/>
          <w:vertAlign w:val="baseline"/>
        </w:rPr>
        <w:t> </w:t>
      </w:r>
      <w:r>
        <w:rPr>
          <w:vertAlign w:val="baseline"/>
        </w:rPr>
        <w:t>tener</w:t>
      </w:r>
      <w:r>
        <w:rPr>
          <w:spacing w:val="15"/>
          <w:vertAlign w:val="baseline"/>
        </w:rPr>
        <w:t> </w:t>
      </w:r>
      <w:r>
        <w:rPr>
          <w:vertAlign w:val="baseline"/>
        </w:rPr>
        <w:t>35</w:t>
      </w:r>
      <w:r>
        <w:rPr>
          <w:spacing w:val="10"/>
          <w:vertAlign w:val="baseline"/>
        </w:rPr>
        <w:t> </w:t>
      </w:r>
      <w:r>
        <w:rPr>
          <w:vertAlign w:val="baseline"/>
        </w:rPr>
        <w:t>años</w:t>
      </w:r>
      <w:r>
        <w:rPr>
          <w:spacing w:val="14"/>
          <w:vertAlign w:val="baseline"/>
        </w:rPr>
        <w:t> </w:t>
      </w:r>
      <w:r>
        <w:rPr>
          <w:vertAlign w:val="baseline"/>
        </w:rPr>
        <w:t>o</w:t>
      </w:r>
      <w:r>
        <w:rPr>
          <w:spacing w:val="10"/>
          <w:vertAlign w:val="baseline"/>
        </w:rPr>
        <w:t> </w:t>
      </w:r>
      <w:r>
        <w:rPr>
          <w:vertAlign w:val="baseline"/>
        </w:rPr>
        <w:t>más</w:t>
      </w:r>
      <w:r>
        <w:rPr>
          <w:spacing w:val="14"/>
          <w:vertAlign w:val="baseline"/>
        </w:rPr>
        <w:t> </w:t>
      </w:r>
      <w:r>
        <w:rPr>
          <w:vertAlign w:val="baseline"/>
        </w:rPr>
        <w:t>al</w:t>
      </w:r>
      <w:r>
        <w:rPr>
          <w:spacing w:val="-57"/>
          <w:vertAlign w:val="baseline"/>
        </w:rPr>
        <w:t> </w:t>
      </w:r>
      <w:r>
        <w:rPr>
          <w:vertAlign w:val="baseline"/>
        </w:rPr>
        <w:t>momento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6"/>
          <w:vertAlign w:val="baseline"/>
        </w:rPr>
        <w:t> </w:t>
      </w:r>
      <w:r>
        <w:rPr>
          <w:vertAlign w:val="baseline"/>
        </w:rPr>
        <w:t>diagnóstico</w:t>
      </w:r>
      <w:r>
        <w:rPr>
          <w:spacing w:val="5"/>
          <w:vertAlign w:val="baseline"/>
        </w:rPr>
        <w:t> </w:t>
      </w:r>
      <w:r>
        <w:rPr>
          <w:vertAlign w:val="baseline"/>
        </w:rPr>
        <w:t>presenta</w:t>
      </w:r>
      <w:r>
        <w:rPr>
          <w:spacing w:val="6"/>
          <w:vertAlign w:val="baseline"/>
        </w:rPr>
        <w:t> </w:t>
      </w:r>
      <w:r>
        <w:rPr>
          <w:vertAlign w:val="baseline"/>
        </w:rPr>
        <w:t>un</w:t>
      </w:r>
      <w:r>
        <w:rPr>
          <w:spacing w:val="2"/>
          <w:vertAlign w:val="baseline"/>
        </w:rPr>
        <w:t> </w:t>
      </w:r>
      <w:r>
        <w:rPr>
          <w:vertAlign w:val="baseline"/>
        </w:rPr>
        <w:t>riesgo</w:t>
      </w:r>
      <w:r>
        <w:rPr>
          <w:spacing w:val="5"/>
          <w:vertAlign w:val="baseline"/>
        </w:rPr>
        <w:t> </w:t>
      </w:r>
      <w:r>
        <w:rPr>
          <w:vertAlign w:val="baseline"/>
        </w:rPr>
        <w:t>2,15</w:t>
      </w:r>
      <w:r>
        <w:rPr>
          <w:spacing w:val="5"/>
          <w:vertAlign w:val="baseline"/>
        </w:rPr>
        <w:t> </w:t>
      </w:r>
      <w:r>
        <w:rPr>
          <w:vertAlign w:val="baseline"/>
        </w:rPr>
        <w:t>veces</w:t>
      </w:r>
      <w:r>
        <w:rPr>
          <w:spacing w:val="4"/>
          <w:vertAlign w:val="baseline"/>
        </w:rPr>
        <w:t> </w:t>
      </w:r>
      <w:r>
        <w:rPr>
          <w:vertAlign w:val="baseline"/>
        </w:rPr>
        <w:t>mayor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presentar</w:t>
      </w:r>
      <w:r>
        <w:rPr>
          <w:spacing w:val="1"/>
          <w:vertAlign w:val="baseline"/>
        </w:rPr>
        <w:t> </w:t>
      </w:r>
      <w:r>
        <w:rPr>
          <w:vertAlign w:val="baseline"/>
        </w:rPr>
        <w:t>muerte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los</w:t>
      </w:r>
      <w:r>
        <w:rPr>
          <w:spacing w:val="4"/>
          <w:vertAlign w:val="baseline"/>
        </w:rPr>
        <w:t> </w:t>
      </w:r>
      <w:r>
        <w:rPr>
          <w:vertAlign w:val="baseline"/>
        </w:rPr>
        <w:t>12</w:t>
      </w:r>
      <w:r>
        <w:rPr>
          <w:spacing w:val="-57"/>
          <w:vertAlign w:val="baseline"/>
        </w:rPr>
        <w:t> </w:t>
      </w:r>
      <w:r>
        <w:rPr>
          <w:vertAlign w:val="baseline"/>
        </w:rPr>
        <w:t>meses</w:t>
      </w:r>
      <w:r>
        <w:rPr>
          <w:spacing w:val="30"/>
          <w:vertAlign w:val="baseline"/>
        </w:rPr>
        <w:t> </w:t>
      </w:r>
      <w:r>
        <w:rPr>
          <w:vertAlign w:val="baseline"/>
        </w:rPr>
        <w:t>de</w:t>
      </w:r>
      <w:r>
        <w:rPr>
          <w:spacing w:val="32"/>
          <w:vertAlign w:val="baseline"/>
        </w:rPr>
        <w:t> </w:t>
      </w:r>
      <w:r>
        <w:rPr>
          <w:vertAlign w:val="baseline"/>
        </w:rPr>
        <w:t>seguimiento</w:t>
      </w:r>
      <w:r>
        <w:rPr>
          <w:spacing w:val="31"/>
          <w:vertAlign w:val="baseline"/>
        </w:rPr>
        <w:t> </w:t>
      </w:r>
      <w:r>
        <w:rPr>
          <w:vertAlign w:val="baseline"/>
        </w:rPr>
        <w:t>(HR</w:t>
      </w:r>
      <w:r>
        <w:rPr>
          <w:spacing w:val="31"/>
          <w:vertAlign w:val="baseline"/>
        </w:rPr>
        <w:t> </w:t>
      </w:r>
      <w:r>
        <w:rPr>
          <w:vertAlign w:val="baseline"/>
        </w:rPr>
        <w:t>2,15;</w:t>
      </w:r>
      <w:r>
        <w:rPr>
          <w:spacing w:val="32"/>
          <w:vertAlign w:val="baseline"/>
        </w:rPr>
        <w:t> </w:t>
      </w:r>
      <w:r>
        <w:rPr>
          <w:vertAlign w:val="baseline"/>
        </w:rPr>
        <w:t>IC</w:t>
      </w:r>
      <w:r>
        <w:rPr>
          <w:spacing w:val="32"/>
          <w:vertAlign w:val="baseline"/>
        </w:rPr>
        <w:t> </w:t>
      </w:r>
      <w:r>
        <w:rPr>
          <w:vertAlign w:val="baseline"/>
        </w:rPr>
        <w:t>95%</w:t>
      </w:r>
      <w:r>
        <w:rPr>
          <w:spacing w:val="31"/>
          <w:vertAlign w:val="baseline"/>
        </w:rPr>
        <w:t> </w:t>
      </w:r>
      <w:r>
        <w:rPr>
          <w:vertAlign w:val="baseline"/>
        </w:rPr>
        <w:t>1,14-4,03,</w:t>
      </w:r>
      <w:r>
        <w:rPr>
          <w:spacing w:val="31"/>
          <w:vertAlign w:val="baseline"/>
        </w:rPr>
        <w:t> </w:t>
      </w:r>
      <w:r>
        <w:rPr>
          <w:vertAlign w:val="baseline"/>
        </w:rPr>
        <w:t>p</w:t>
      </w:r>
      <w:r>
        <w:rPr>
          <w:spacing w:val="31"/>
          <w:vertAlign w:val="baseline"/>
        </w:rPr>
        <w:t> </w:t>
      </w:r>
      <w:r>
        <w:rPr>
          <w:vertAlign w:val="baseline"/>
        </w:rPr>
        <w:t>=0,017)</w:t>
      </w:r>
      <w:r>
        <w:rPr>
          <w:spacing w:val="32"/>
          <w:vertAlign w:val="baseline"/>
        </w:rPr>
        <w:t> </w:t>
      </w:r>
      <w:r>
        <w:rPr>
          <w:vertAlign w:val="baseline"/>
        </w:rPr>
        <w:t>así</w:t>
      </w:r>
      <w:r>
        <w:rPr>
          <w:spacing w:val="33"/>
          <w:vertAlign w:val="baseline"/>
        </w:rPr>
        <w:t> </w:t>
      </w:r>
      <w:r>
        <w:rPr>
          <w:vertAlign w:val="baseline"/>
        </w:rPr>
        <w:t>como</w:t>
      </w:r>
      <w:r>
        <w:rPr>
          <w:spacing w:val="31"/>
          <w:vertAlign w:val="baseline"/>
        </w:rPr>
        <w:t> </w:t>
      </w:r>
      <w:r>
        <w:rPr>
          <w:vertAlign w:val="baseline"/>
        </w:rPr>
        <w:t>la</w:t>
      </w:r>
      <w:r>
        <w:rPr>
          <w:spacing w:val="32"/>
          <w:vertAlign w:val="baseline"/>
        </w:rPr>
        <w:t> </w:t>
      </w:r>
      <w:r>
        <w:rPr>
          <w:vertAlign w:val="baseline"/>
        </w:rPr>
        <w:t>presencia</w:t>
      </w:r>
      <w:r>
        <w:rPr>
          <w:spacing w:val="32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diabetes mellitus que aumenta 3,68 veces más riesgo de presentar este desenlace a 12 meses</w:t>
      </w:r>
      <w:r>
        <w:rPr>
          <w:spacing w:val="-57"/>
          <w:vertAlign w:val="baseline"/>
        </w:rPr>
        <w:t> </w:t>
      </w:r>
      <w:r>
        <w:rPr>
          <w:vertAlign w:val="baseline"/>
        </w:rPr>
        <w:t>(HR</w:t>
      </w:r>
      <w:r>
        <w:rPr>
          <w:spacing w:val="-7"/>
          <w:vertAlign w:val="baseline"/>
        </w:rPr>
        <w:t> </w:t>
      </w:r>
      <w:r>
        <w:rPr>
          <w:vertAlign w:val="baseline"/>
        </w:rPr>
        <w:t>3,68;</w:t>
      </w:r>
      <w:r>
        <w:rPr>
          <w:spacing w:val="-5"/>
          <w:vertAlign w:val="baseline"/>
        </w:rPr>
        <w:t> </w:t>
      </w:r>
      <w:r>
        <w:rPr>
          <w:vertAlign w:val="baseline"/>
        </w:rPr>
        <w:t>IC</w:t>
      </w:r>
      <w:r>
        <w:rPr>
          <w:spacing w:val="-7"/>
          <w:vertAlign w:val="baseline"/>
        </w:rPr>
        <w:t> </w:t>
      </w:r>
      <w:r>
        <w:rPr>
          <w:vertAlign w:val="baseline"/>
        </w:rPr>
        <w:t>95%:</w:t>
      </w:r>
      <w:r>
        <w:rPr>
          <w:spacing w:val="-4"/>
          <w:vertAlign w:val="baseline"/>
        </w:rPr>
        <w:t> </w:t>
      </w:r>
      <w:r>
        <w:rPr>
          <w:vertAlign w:val="baseline"/>
        </w:rPr>
        <w:t>1,54-8,8,</w:t>
      </w:r>
      <w:r>
        <w:rPr>
          <w:spacing w:val="-6"/>
          <w:vertAlign w:val="baseline"/>
        </w:rPr>
        <w:t> </w:t>
      </w:r>
      <w:r>
        <w:rPr>
          <w:vertAlign w:val="baseline"/>
        </w:rPr>
        <w:t>p=</w:t>
      </w:r>
      <w:r>
        <w:rPr>
          <w:spacing w:val="-2"/>
          <w:vertAlign w:val="baseline"/>
        </w:rPr>
        <w:t> </w:t>
      </w:r>
      <w:r>
        <w:rPr>
          <w:vertAlign w:val="baseline"/>
        </w:rPr>
        <w:t>0,03),</w:t>
      </w:r>
      <w:r>
        <w:rPr>
          <w:spacing w:val="-6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-8"/>
          <w:vertAlign w:val="baseline"/>
        </w:rPr>
        <w:t> </w:t>
      </w:r>
      <w:r>
        <w:rPr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vertAlign w:val="baseline"/>
        </w:rPr>
        <w:t>fueron</w:t>
      </w:r>
      <w:r>
        <w:rPr>
          <w:spacing w:val="-6"/>
          <w:vertAlign w:val="baseline"/>
        </w:rPr>
        <w:t> </w:t>
      </w:r>
      <w:r>
        <w:rPr>
          <w:vertAlign w:val="baseline"/>
        </w:rPr>
        <w:t>estadísticamente</w:t>
      </w:r>
      <w:r>
        <w:rPr>
          <w:spacing w:val="-4"/>
          <w:vertAlign w:val="baseline"/>
        </w:rPr>
        <w:t> </w:t>
      </w:r>
      <w:r>
        <w:rPr>
          <w:vertAlign w:val="baseline"/>
        </w:rPr>
        <w:t>significativos.</w:t>
      </w:r>
    </w:p>
    <w:p>
      <w:pPr>
        <w:pStyle w:val="BodyText"/>
        <w:spacing w:line="480" w:lineRule="auto" w:before="1"/>
        <w:ind w:left="480" w:right="639" w:firstLine="720"/>
        <w:jc w:val="both"/>
      </w:pPr>
      <w:r>
        <w:rPr/>
        <w:t>Otros</w:t>
      </w:r>
      <w:r>
        <w:rPr>
          <w:spacing w:val="-13"/>
        </w:rPr>
        <w:t> </w:t>
      </w:r>
      <w:r>
        <w:rPr/>
        <w:t>factores</w:t>
      </w:r>
      <w:r>
        <w:rPr>
          <w:spacing w:val="-12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obesidad,</w:t>
      </w:r>
      <w:r>
        <w:rPr>
          <w:spacing w:val="-10"/>
        </w:rPr>
        <w:t> </w:t>
      </w:r>
      <w:r>
        <w:rPr/>
        <w:t>definida</w:t>
      </w:r>
      <w:r>
        <w:rPr>
          <w:spacing w:val="-14"/>
        </w:rPr>
        <w:t> </w:t>
      </w:r>
      <w:r>
        <w:rPr/>
        <w:t>como</w:t>
      </w:r>
      <w:r>
        <w:rPr>
          <w:spacing w:val="-10"/>
        </w:rPr>
        <w:t> </w:t>
      </w:r>
      <w:r>
        <w:rPr/>
        <w:t>IMC</w:t>
      </w:r>
      <w:r>
        <w:rPr>
          <w:spacing w:val="-11"/>
        </w:rPr>
        <w:t> </w:t>
      </w:r>
      <w:r>
        <w:rPr/>
        <w:t>&gt;</w:t>
      </w:r>
      <w:r>
        <w:rPr>
          <w:spacing w:val="-10"/>
        </w:rPr>
        <w:t> </w:t>
      </w:r>
      <w:r>
        <w:rPr/>
        <w:t>30,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9"/>
        </w:rPr>
        <w:t> </w:t>
      </w:r>
      <w:r>
        <w:rPr/>
        <w:t>relacionado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peores</w:t>
      </w:r>
      <w:r>
        <w:rPr>
          <w:spacing w:val="-58"/>
        </w:rPr>
        <w:t> </w:t>
      </w:r>
      <w:r>
        <w:rPr/>
        <w:t>tasas de sobrevida.</w:t>
      </w:r>
      <w:r>
        <w:rPr>
          <w:spacing w:val="1"/>
        </w:rPr>
        <w:t> </w:t>
      </w:r>
      <w:r>
        <w:rPr/>
        <w:t>Una razón que podría explicar esta asociación, es la evidencia que los</w:t>
      </w:r>
      <w:r>
        <w:rPr>
          <w:spacing w:val="1"/>
        </w:rPr>
        <w:t> </w:t>
      </w:r>
      <w:r>
        <w:rPr/>
        <w:t>adipocitos atraen células leucémicas y parecen “proteger” a los linfoblastos durante la</w:t>
      </w:r>
      <w:r>
        <w:rPr>
          <w:spacing w:val="1"/>
        </w:rPr>
        <w:t> </w:t>
      </w:r>
      <w:r>
        <w:rPr/>
        <w:t>quimioterapia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conlleva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(29,30). 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encontró</w:t>
      </w:r>
      <w:r>
        <w:rPr>
          <w:spacing w:val="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estadísticamente significativa entre obesidad y</w:t>
      </w:r>
      <w:r>
        <w:rPr>
          <w:spacing w:val="-6"/>
        </w:rPr>
        <w:t> </w:t>
      </w:r>
      <w:r>
        <w:rPr/>
        <w:t>mortalidad.</w:t>
      </w:r>
    </w:p>
    <w:p>
      <w:pPr>
        <w:pStyle w:val="BodyText"/>
        <w:spacing w:line="480" w:lineRule="auto" w:before="1"/>
        <w:ind w:left="480" w:right="635" w:firstLine="720"/>
        <w:jc w:val="both"/>
      </w:pPr>
      <w:r>
        <w:rPr/>
        <w:t>En cuanto a las características inmunofenotípicas, se encontró que la clasificación</w:t>
      </w:r>
      <w:r>
        <w:rPr>
          <w:spacing w:val="1"/>
        </w:rPr>
        <w:t> </w:t>
      </w:r>
      <w:r>
        <w:rPr/>
        <w:t>FAB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frecuente</w:t>
      </w:r>
      <w:r>
        <w:rPr>
          <w:spacing w:val="-5"/>
        </w:rPr>
        <w:t> </w:t>
      </w:r>
      <w:r>
        <w:rPr/>
        <w:t>fue</w:t>
      </w:r>
      <w:r>
        <w:rPr>
          <w:spacing w:val="-4"/>
        </w:rPr>
        <w:t> </w:t>
      </w:r>
      <w:r>
        <w:rPr/>
        <w:t>LAL2</w:t>
      </w:r>
      <w:r>
        <w:rPr>
          <w:spacing w:val="-7"/>
        </w:rPr>
        <w:t> </w:t>
      </w:r>
      <w:r>
        <w:rPr/>
        <w:t>(58,33%),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inmunofenotipo</w:t>
      </w:r>
      <w:r>
        <w:rPr>
          <w:spacing w:val="-6"/>
        </w:rPr>
        <w:t> </w:t>
      </w:r>
      <w:r>
        <w:rPr/>
        <w:t>más</w:t>
      </w:r>
      <w:r>
        <w:rPr>
          <w:spacing w:val="-8"/>
        </w:rPr>
        <w:t> </w:t>
      </w:r>
      <w:r>
        <w:rPr/>
        <w:t>común</w:t>
      </w:r>
      <w:r>
        <w:rPr>
          <w:spacing w:val="-6"/>
        </w:rPr>
        <w:t> </w:t>
      </w:r>
      <w:r>
        <w:rPr/>
        <w:t>fue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precursores</w:t>
      </w:r>
      <w:r>
        <w:rPr>
          <w:spacing w:val="-8"/>
        </w:rPr>
        <w:t> </w:t>
      </w:r>
      <w:r>
        <w:rPr/>
        <w:t>b</w:t>
      </w:r>
      <w:r>
        <w:rPr>
          <w:spacing w:val="-57"/>
        </w:rPr>
        <w:t> </w:t>
      </w:r>
      <w:r>
        <w:rPr/>
        <w:t>(32,08%) y la presencia del cromosoma filadelfia medido por PCR o FISH fue del 11,82%.</w:t>
      </w:r>
      <w:r>
        <w:rPr>
          <w:spacing w:val="1"/>
        </w:rPr>
        <w:t> </w:t>
      </w:r>
      <w:r>
        <w:rPr/>
        <w:t>Al compararlos con los datos de la literatura internacional se documentaron similitudes en</w:t>
      </w:r>
      <w:r>
        <w:rPr>
          <w:spacing w:val="1"/>
        </w:rPr>
        <w:t> </w:t>
      </w:r>
      <w:r>
        <w:rPr>
          <w:spacing w:val="-1"/>
        </w:rPr>
        <w:t>frecuencia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positividad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cromosoma</w:t>
      </w:r>
      <w:r>
        <w:rPr>
          <w:spacing w:val="-11"/>
        </w:rPr>
        <w:t> </w:t>
      </w:r>
      <w:r>
        <w:rPr/>
        <w:t>filadelfia</w:t>
      </w:r>
      <w:r>
        <w:rPr>
          <w:spacing w:val="-10"/>
        </w:rPr>
        <w:t> </w:t>
      </w:r>
      <w:r>
        <w:rPr/>
        <w:t>(16.7%),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inmunofenotipo</w:t>
      </w:r>
      <w:r>
        <w:rPr>
          <w:spacing w:val="-9"/>
        </w:rPr>
        <w:t> </w:t>
      </w:r>
      <w:r>
        <w:rPr/>
        <w:t>-</w:t>
      </w:r>
      <w:r>
        <w:rPr>
          <w:spacing w:val="-16"/>
        </w:rPr>
        <w:t> </w:t>
      </w:r>
      <w:r>
        <w:rPr/>
        <w:t>aunque</w:t>
      </w:r>
      <w:r>
        <w:rPr>
          <w:spacing w:val="-57"/>
        </w:rPr>
        <w:t> </w:t>
      </w:r>
      <w:r>
        <w:rPr/>
        <w:t>es</w:t>
      </w:r>
      <w:r>
        <w:rPr>
          <w:spacing w:val="-4"/>
        </w:rPr>
        <w:t> </w:t>
      </w:r>
      <w:r>
        <w:rPr/>
        <w:t>más</w:t>
      </w:r>
      <w:r>
        <w:rPr>
          <w:spacing w:val="-3"/>
        </w:rPr>
        <w:t> </w:t>
      </w:r>
      <w:r>
        <w:rPr/>
        <w:t>frecuente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LLA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precursores</w:t>
      </w:r>
      <w:r>
        <w:rPr>
          <w:spacing w:val="-3"/>
        </w:rPr>
        <w:t> </w:t>
      </w:r>
      <w:r>
        <w:rPr/>
        <w:t>B al</w:t>
      </w:r>
      <w:r>
        <w:rPr>
          <w:spacing w:val="-2"/>
        </w:rPr>
        <w:t> </w:t>
      </w:r>
      <w:r>
        <w:rPr/>
        <w:t>igual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otros</w:t>
      </w:r>
      <w:r>
        <w:rPr>
          <w:spacing w:val="-3"/>
        </w:rPr>
        <w:t> </w:t>
      </w:r>
      <w:r>
        <w:rPr/>
        <w:t>reportes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su</w:t>
      </w:r>
      <w:r>
        <w:rPr>
          <w:spacing w:val="-2"/>
        </w:rPr>
        <w:t> </w:t>
      </w:r>
      <w:r>
        <w:rPr/>
        <w:t>frecuencia en</w:t>
      </w:r>
      <w:r>
        <w:rPr>
          <w:spacing w:val="-6"/>
        </w:rPr>
        <w:t> </w:t>
      </w:r>
      <w:r>
        <w:rPr/>
        <w:t>el</w:t>
      </w:r>
      <w:r>
        <w:rPr>
          <w:spacing w:val="-58"/>
        </w:rPr>
        <w:t> </w:t>
      </w:r>
      <w:r>
        <w:rPr/>
        <w:t>presente</w:t>
      </w:r>
      <w:r>
        <w:rPr>
          <w:spacing w:val="-8"/>
        </w:rPr>
        <w:t> </w:t>
      </w:r>
      <w:r>
        <w:rPr/>
        <w:t>trabajo</w:t>
      </w:r>
      <w:r>
        <w:rPr>
          <w:spacing w:val="-6"/>
        </w:rPr>
        <w:t> </w:t>
      </w:r>
      <w:r>
        <w:rPr/>
        <w:t>fue</w:t>
      </w:r>
      <w:r>
        <w:rPr>
          <w:spacing w:val="-5"/>
        </w:rPr>
        <w:t> </w:t>
      </w:r>
      <w:r>
        <w:rPr/>
        <w:t>menor</w:t>
      </w:r>
      <w:r>
        <w:rPr>
          <w:spacing w:val="-8"/>
        </w:rPr>
        <w:t> </w:t>
      </w:r>
      <w:r>
        <w:rPr/>
        <w:t>(87.4%).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cuanto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clasificación</w:t>
      </w:r>
      <w:r>
        <w:rPr>
          <w:spacing w:val="-9"/>
        </w:rPr>
        <w:t> </w:t>
      </w:r>
      <w:r>
        <w:rPr/>
        <w:t>FAB,</w:t>
      </w:r>
      <w:r>
        <w:rPr>
          <w:spacing w:val="-6"/>
        </w:rPr>
        <w:t> </w:t>
      </w:r>
      <w:r>
        <w:rPr/>
        <w:t>algunos</w:t>
      </w:r>
      <w:r>
        <w:rPr>
          <w:spacing w:val="-7"/>
        </w:rPr>
        <w:t> </w:t>
      </w:r>
      <w:r>
        <w:rPr/>
        <w:t>autores</w:t>
      </w:r>
      <w:r>
        <w:rPr>
          <w:spacing w:val="-6"/>
        </w:rPr>
        <w:t> </w:t>
      </w:r>
      <w:r>
        <w:rPr/>
        <w:t>como</w:t>
      </w:r>
      <w:r>
        <w:rPr>
          <w:spacing w:val="-58"/>
        </w:rPr>
        <w:t> </w:t>
      </w:r>
      <w:r>
        <w:rPr/>
        <w:t>Thomas</w:t>
      </w:r>
      <w:r>
        <w:rPr>
          <w:spacing w:val="1"/>
        </w:rPr>
        <w:t> </w:t>
      </w:r>
      <w:r>
        <w:rPr/>
        <w:t>reportan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frecuencia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LAL1</w:t>
      </w:r>
      <w:r>
        <w:rPr>
          <w:spacing w:val="1"/>
        </w:rPr>
        <w:t> </w:t>
      </w:r>
      <w:r>
        <w:rPr/>
        <w:t>(25,26).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inmunofenotípicas estudiadas tuvo asociación significativa con mortalidad o sobreviva libre</w:t>
      </w:r>
      <w:r>
        <w:rPr>
          <w:spacing w:val="-57"/>
        </w:rPr>
        <w:t> </w:t>
      </w:r>
      <w:r>
        <w:rPr/>
        <w:t>de enfermedad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el presente</w:t>
      </w:r>
      <w:r>
        <w:rPr>
          <w:spacing w:val="-3"/>
        </w:rPr>
        <w:t> </w:t>
      </w:r>
      <w:r>
        <w:rPr/>
        <w:t>estudio.</w:t>
      </w:r>
    </w:p>
    <w:p>
      <w:pPr>
        <w:pStyle w:val="BodyText"/>
        <w:spacing w:line="480" w:lineRule="auto" w:before="2"/>
        <w:ind w:left="480" w:right="641" w:firstLine="720"/>
        <w:jc w:val="both"/>
      </w:pP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ausencia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enfermedad</w:t>
      </w:r>
      <w:r>
        <w:rPr>
          <w:spacing w:val="-16"/>
        </w:rPr>
        <w:t> </w:t>
      </w:r>
      <w:r>
        <w:rPr>
          <w:spacing w:val="-1"/>
        </w:rPr>
        <w:t>mínima</w:t>
      </w:r>
      <w:r>
        <w:rPr>
          <w:spacing w:val="-14"/>
        </w:rPr>
        <w:t> </w:t>
      </w:r>
      <w:r>
        <w:rPr>
          <w:spacing w:val="-1"/>
        </w:rPr>
        <w:t>residual</w:t>
      </w:r>
      <w:r>
        <w:rPr>
          <w:spacing w:val="-16"/>
        </w:rPr>
        <w:t> </w:t>
      </w:r>
      <w:r>
        <w:rPr/>
        <w:t>medida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citometría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flujo,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definida</w:t>
      </w:r>
      <w:r>
        <w:rPr>
          <w:spacing w:val="-58"/>
        </w:rPr>
        <w:t> </w:t>
      </w:r>
      <w:r>
        <w:rPr/>
        <w:t>como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&lt;0,01%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blastos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alcanzan</w:t>
      </w:r>
      <w:r>
        <w:rPr>
          <w:spacing w:val="-3"/>
        </w:rPr>
        <w:t> </w:t>
      </w:r>
      <w:r>
        <w:rPr/>
        <w:t>remisión</w:t>
      </w:r>
      <w:r>
        <w:rPr>
          <w:spacing w:val="-3"/>
        </w:rPr>
        <w:t> </w:t>
      </w:r>
      <w:r>
        <w:rPr/>
        <w:t>morfológica,</w:t>
      </w:r>
      <w:r>
        <w:rPr>
          <w:spacing w:val="-2"/>
        </w:rPr>
        <w:t> </w:t>
      </w:r>
      <w:r>
        <w:rPr/>
        <w:t>se</w:t>
      </w:r>
      <w:r>
        <w:rPr>
          <w:spacing w:val="-58"/>
        </w:rPr>
        <w:t> </w:t>
      </w:r>
      <w:r>
        <w:rPr/>
        <w:t>ha</w:t>
      </w:r>
      <w:r>
        <w:rPr>
          <w:spacing w:val="4"/>
        </w:rPr>
        <w:t> </w:t>
      </w:r>
      <w:r>
        <w:rPr/>
        <w:t>asociado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mejores</w:t>
      </w:r>
      <w:r>
        <w:rPr>
          <w:spacing w:val="2"/>
        </w:rPr>
        <w:t> </w:t>
      </w:r>
      <w:r>
        <w:rPr/>
        <w:t>tasas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sobrevida</w:t>
      </w:r>
      <w:r>
        <w:rPr>
          <w:spacing w:val="4"/>
        </w:rPr>
        <w:t> </w:t>
      </w:r>
      <w:r>
        <w:rPr/>
        <w:t>libre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enfermedad.</w:t>
      </w:r>
      <w:r>
        <w:rPr>
          <w:spacing w:val="6"/>
        </w:rPr>
        <w:t> </w:t>
      </w:r>
      <w:r>
        <w:rPr/>
        <w:t>Ravandi</w:t>
      </w:r>
      <w:r>
        <w:rPr>
          <w:spacing w:val="3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6"/>
        </w:rPr>
        <w:t> </w:t>
      </w:r>
      <w:r>
        <w:rPr/>
        <w:t>encontró</w:t>
      </w:r>
      <w:r>
        <w:rPr>
          <w:spacing w:val="3"/>
        </w:rPr>
        <w:t> </w:t>
      </w:r>
      <w:r>
        <w:rPr/>
        <w:t>que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6"/>
        <w:jc w:val="both"/>
      </w:pPr>
      <w:r>
        <w:rPr/>
        <w:t>presentar</w:t>
      </w:r>
      <w:r>
        <w:rPr>
          <w:spacing w:val="-8"/>
        </w:rPr>
        <w:t> </w:t>
      </w:r>
      <w:r>
        <w:rPr/>
        <w:t>respuesta</w:t>
      </w:r>
      <w:r>
        <w:rPr>
          <w:spacing w:val="-6"/>
        </w:rPr>
        <w:t> </w:t>
      </w:r>
      <w:r>
        <w:rPr/>
        <w:t>morfológica</w:t>
      </w:r>
      <w:r>
        <w:rPr>
          <w:spacing w:val="-3"/>
        </w:rPr>
        <w:t> </w:t>
      </w:r>
      <w:r>
        <w:rPr/>
        <w:t>completa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EMR</w:t>
      </w:r>
      <w:r>
        <w:rPr>
          <w:spacing w:val="-3"/>
        </w:rPr>
        <w:t> </w:t>
      </w:r>
      <w:r>
        <w:rPr/>
        <w:t>negativa</w:t>
      </w:r>
      <w:r>
        <w:rPr>
          <w:spacing w:val="-3"/>
        </w:rPr>
        <w:t> </w:t>
      </w:r>
      <w:r>
        <w:rPr/>
        <w:t>posterior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quimioterapia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inducción aumentaba la probabilidad alcanzar sobrevida libre de enfermedad a 5 años (HR</w:t>
      </w:r>
      <w:r>
        <w:rPr>
          <w:spacing w:val="1"/>
        </w:rPr>
        <w:t> </w:t>
      </w:r>
      <w:r>
        <w:rPr/>
        <w:t>1,47; IC 95% .003, 2.153, p: 0,048) en comparación con quienes presentaban EMR positiva</w:t>
      </w:r>
      <w:r>
        <w:rPr>
          <w:spacing w:val="-57"/>
        </w:rPr>
        <w:t> </w:t>
      </w:r>
      <w:r>
        <w:rPr/>
        <w:t>(31). Este estudio encontró que el 46,94% del total de pacientes alcanzaba EMR negativa al</w:t>
      </w:r>
      <w:r>
        <w:rPr>
          <w:spacing w:val="-57"/>
        </w:rPr>
        <w:t> </w:t>
      </w:r>
      <w:r>
        <w:rPr/>
        <w:t>final de la inducción, y en los pacientes que no alcanzaron mínima residual negativa, se</w:t>
      </w:r>
      <w:r>
        <w:rPr>
          <w:spacing w:val="1"/>
        </w:rPr>
        <w:t> </w:t>
      </w:r>
      <w:r>
        <w:rPr/>
        <w:t>asoció a</w:t>
      </w:r>
      <w:r>
        <w:rPr>
          <w:spacing w:val="1"/>
        </w:rPr>
        <w:t> </w:t>
      </w:r>
      <w:r>
        <w:rPr/>
        <w:t>1,5 más riesgo de</w:t>
      </w:r>
      <w:r>
        <w:rPr>
          <w:spacing w:val="1"/>
        </w:rPr>
        <w:t> </w:t>
      </w:r>
      <w:r>
        <w:rPr/>
        <w:t>mortalidad a</w:t>
      </w:r>
      <w:r>
        <w:rPr>
          <w:spacing w:val="1"/>
        </w:rPr>
        <w:t> </w:t>
      </w:r>
      <w:r>
        <w:rPr/>
        <w:t>12 meses, sin embargo este</w:t>
      </w:r>
      <w:r>
        <w:rPr>
          <w:spacing w:val="1"/>
        </w:rPr>
        <w:t> </w:t>
      </w:r>
      <w:r>
        <w:rPr/>
        <w:t>hallazgo no fue</w:t>
      </w:r>
      <w:r>
        <w:rPr>
          <w:spacing w:val="1"/>
        </w:rPr>
        <w:t> </w:t>
      </w:r>
      <w:r>
        <w:rPr/>
        <w:t>estadísticamente significativo.</w:t>
      </w:r>
    </w:p>
    <w:p>
      <w:pPr>
        <w:pStyle w:val="BodyText"/>
        <w:spacing w:line="480" w:lineRule="auto" w:before="2"/>
        <w:ind w:left="480" w:right="646" w:firstLine="720"/>
        <w:jc w:val="both"/>
      </w:pPr>
      <w:r>
        <w:rPr/>
        <w:t>Otro</w:t>
      </w:r>
      <w:r>
        <w:rPr>
          <w:spacing w:val="-6"/>
        </w:rPr>
        <w:t> </w:t>
      </w:r>
      <w:r>
        <w:rPr/>
        <w:t>avance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</w:t>
      </w:r>
      <w:r>
        <w:rPr>
          <w:spacing w:val="-9"/>
        </w:rPr>
        <w:t> </w:t>
      </w:r>
      <w:r>
        <w:rPr/>
        <w:t>impactado</w:t>
      </w:r>
      <w:r>
        <w:rPr>
          <w:spacing w:val="-7"/>
        </w:rPr>
        <w:t> </w:t>
      </w:r>
      <w:r>
        <w:rPr/>
        <w:t>sobre</w:t>
      </w:r>
      <w:r>
        <w:rPr>
          <w:spacing w:val="-9"/>
        </w:rPr>
        <w:t> </w:t>
      </w:r>
      <w:r>
        <w:rPr/>
        <w:t>recaída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mortalidad</w:t>
      </w:r>
      <w:r>
        <w:rPr>
          <w:spacing w:val="-11"/>
        </w:rPr>
        <w:t> </w:t>
      </w:r>
      <w:r>
        <w:rPr/>
        <w:t>en</w:t>
      </w:r>
      <w:r>
        <w:rPr>
          <w:spacing w:val="-6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LLA</w:t>
      </w:r>
      <w:r>
        <w:rPr>
          <w:spacing w:val="-12"/>
        </w:rPr>
        <w:t> </w:t>
      </w:r>
      <w:r>
        <w:rPr/>
        <w:t>es</w:t>
      </w:r>
      <w:r>
        <w:rPr>
          <w:spacing w:val="-8"/>
        </w:rPr>
        <w:t> </w:t>
      </w:r>
      <w:r>
        <w:rPr/>
        <w:t>la</w:t>
      </w:r>
      <w:r>
        <w:rPr>
          <w:spacing w:val="-57"/>
        </w:rPr>
        <w:t> </w:t>
      </w:r>
      <w:r>
        <w:rPr/>
        <w:t>realización de trasplante de progenitores hematopoyéticos. La eficacia de TPH alogénico en</w:t>
      </w:r>
      <w:r>
        <w:rPr>
          <w:spacing w:val="-57"/>
        </w:rPr>
        <w:t> </w:t>
      </w:r>
      <w:r>
        <w:rPr/>
        <w:t>esta enfermedad se ha comprobado en diversos estudios, sin embargo también se asocia 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significativo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complicaciones</w:t>
      </w:r>
      <w:r>
        <w:rPr>
          <w:spacing w:val="1"/>
        </w:rPr>
        <w:t> </w:t>
      </w:r>
      <w:r>
        <w:rPr/>
        <w:t>potencialmente</w:t>
      </w:r>
      <w:r>
        <w:rPr>
          <w:spacing w:val="1"/>
        </w:rPr>
        <w:t> </w:t>
      </w:r>
      <w:r>
        <w:rPr/>
        <w:t>mortales,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infecciones y la enfermedad injerto contra huésped.</w:t>
      </w:r>
      <w:r>
        <w:rPr>
          <w:spacing w:val="1"/>
        </w:rPr>
        <w:t> </w:t>
      </w:r>
      <w:r>
        <w:rPr/>
        <w:t>A pesar de los avances, el riesgo</w:t>
      </w:r>
      <w:r>
        <w:rPr>
          <w:spacing w:val="1"/>
        </w:rPr>
        <w:t> </w:t>
      </w:r>
      <w:r>
        <w:rPr/>
        <w:t>estimado de mortalidad sin recaída asociado a TPH es de aproximadamente el 15% por lo</w:t>
      </w:r>
      <w:r>
        <w:rPr>
          <w:spacing w:val="1"/>
        </w:rPr>
        <w:t> </w:t>
      </w:r>
      <w:r>
        <w:rPr/>
        <w:t>que esta terapia se reserva para los pacientes que requieren una dosis más intensiva que la</w:t>
      </w:r>
      <w:r>
        <w:rPr>
          <w:spacing w:val="1"/>
        </w:rPr>
        <w:t> </w:t>
      </w:r>
      <w:r>
        <w:rPr/>
        <w:t>quimioterapia convencional</w:t>
      </w:r>
      <w:r>
        <w:rPr>
          <w:spacing w:val="5"/>
        </w:rPr>
        <w:t> </w:t>
      </w:r>
      <w:r>
        <w:rPr/>
        <w:t>(32–35).</w:t>
      </w:r>
    </w:p>
    <w:p>
      <w:pPr>
        <w:pStyle w:val="BodyText"/>
        <w:spacing w:line="480" w:lineRule="auto" w:before="1"/>
        <w:ind w:left="480" w:right="639" w:firstLine="720"/>
        <w:jc w:val="both"/>
      </w:pPr>
      <w:r>
        <w:rPr/>
        <w:t>El</w:t>
      </w:r>
      <w:r>
        <w:rPr>
          <w:spacing w:val="-10"/>
        </w:rPr>
        <w:t> </w:t>
      </w:r>
      <w:r>
        <w:rPr/>
        <w:t>presente</w:t>
      </w:r>
      <w:r>
        <w:rPr>
          <w:spacing w:val="-13"/>
        </w:rPr>
        <w:t> </w:t>
      </w:r>
      <w:r>
        <w:rPr/>
        <w:t>estudio,</w:t>
      </w:r>
      <w:r>
        <w:rPr>
          <w:spacing w:val="-15"/>
        </w:rPr>
        <w:t> </w:t>
      </w:r>
      <w:r>
        <w:rPr/>
        <w:t>encontró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pacientes</w:t>
      </w:r>
      <w:r>
        <w:rPr>
          <w:spacing w:val="-13"/>
        </w:rPr>
        <w:t> </w:t>
      </w:r>
      <w:r>
        <w:rPr/>
        <w:t>sometidos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trasplante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progenitores</w:t>
      </w:r>
      <w:r>
        <w:rPr>
          <w:spacing w:val="-58"/>
        </w:rPr>
        <w:t> </w:t>
      </w:r>
      <w:r>
        <w:rPr/>
        <w:t>hematopoyéticos, presentaban un menor riesgo de mortalidad a 12 meses en comparación a</w:t>
      </w:r>
      <w:r>
        <w:rPr>
          <w:spacing w:val="1"/>
        </w:rPr>
        <w:t> </w:t>
      </w:r>
      <w:r>
        <w:rPr/>
        <w:t>quienes no fueron sometidos a este tratamiento, lo cual fue estadísticamente significativo</w:t>
      </w:r>
      <w:r>
        <w:rPr>
          <w:spacing w:val="1"/>
        </w:rPr>
        <w:t> </w:t>
      </w:r>
      <w:r>
        <w:rPr/>
        <w:t>(HR, 0.12; IC 95% 0.37-0.39; P &lt;0.01).</w:t>
      </w:r>
      <w:r>
        <w:rPr>
          <w:spacing w:val="1"/>
        </w:rPr>
        <w:t> </w:t>
      </w:r>
      <w:r>
        <w:rPr/>
        <w:t>Hallazgos similares fueron reportdos por Gupta et</w:t>
      </w:r>
      <w:r>
        <w:rPr>
          <w:spacing w:val="1"/>
        </w:rPr>
        <w:t> </w:t>
      </w:r>
      <w:r>
        <w:rPr>
          <w:spacing w:val="-1"/>
        </w:rPr>
        <w:t>al,</w:t>
      </w:r>
      <w:r>
        <w:rPr>
          <w:spacing w:val="-17"/>
        </w:rPr>
        <w:t> </w:t>
      </w:r>
      <w:r>
        <w:rPr>
          <w:spacing w:val="-1"/>
        </w:rPr>
        <w:t>quienes</w:t>
      </w:r>
      <w:r>
        <w:rPr>
          <w:spacing w:val="-18"/>
        </w:rPr>
        <w:t> </w:t>
      </w:r>
      <w:r>
        <w:rPr/>
        <w:t>encontraron</w:t>
      </w:r>
      <w:r>
        <w:rPr>
          <w:spacing w:val="-15"/>
        </w:rPr>
        <w:t> </w:t>
      </w:r>
      <w:r>
        <w:rPr/>
        <w:t>mejor</w:t>
      </w:r>
      <w:r>
        <w:rPr>
          <w:spacing w:val="-16"/>
        </w:rPr>
        <w:t> </w:t>
      </w:r>
      <w:r>
        <w:rPr/>
        <w:t>sobrevida</w:t>
      </w:r>
      <w:r>
        <w:rPr>
          <w:spacing w:val="-9"/>
        </w:rPr>
        <w:t> </w:t>
      </w:r>
      <w:r>
        <w:rPr/>
        <w:t>a</w:t>
      </w:r>
      <w:r>
        <w:rPr>
          <w:spacing w:val="-19"/>
        </w:rPr>
        <w:t> </w:t>
      </w:r>
      <w:r>
        <w:rPr/>
        <w:t>5</w:t>
      </w:r>
      <w:r>
        <w:rPr>
          <w:spacing w:val="-16"/>
        </w:rPr>
        <w:t> </w:t>
      </w:r>
      <w:r>
        <w:rPr/>
        <w:t>años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pacientes</w:t>
      </w:r>
      <w:r>
        <w:rPr>
          <w:spacing w:val="-18"/>
        </w:rPr>
        <w:t> </w:t>
      </w:r>
      <w:r>
        <w:rPr/>
        <w:t>que</w:t>
      </w:r>
      <w:r>
        <w:rPr>
          <w:spacing w:val="-14"/>
        </w:rPr>
        <w:t> </w:t>
      </w:r>
      <w:r>
        <w:rPr/>
        <w:t>fueron</w:t>
      </w:r>
      <w:r>
        <w:rPr>
          <w:spacing w:val="-13"/>
        </w:rPr>
        <w:t> </w:t>
      </w:r>
      <w:r>
        <w:rPr/>
        <w:t>llevados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trasplante</w:t>
      </w:r>
      <w:r>
        <w:rPr>
          <w:spacing w:val="-58"/>
        </w:rPr>
        <w:t> </w:t>
      </w:r>
      <w:r>
        <w:rPr/>
        <w:t>vs a quienes no (HR, 0.12; 95% IC, 0.03-0.52; P &lt; 0.01) (24). Por otro lado, el CIBMTR</w:t>
      </w:r>
      <w:r>
        <w:rPr>
          <w:spacing w:val="1"/>
        </w:rPr>
        <w:t> </w:t>
      </w:r>
      <w:r>
        <w:rPr/>
        <w:t>(</w:t>
      </w:r>
      <w:r>
        <w:rPr>
          <w:i/>
        </w:rPr>
        <w:t>Centre for International Blood and Marrow Transplant Research</w:t>
      </w:r>
      <w:r>
        <w:rPr/>
        <w:t>, por sus siglas en inglés)</w:t>
      </w:r>
      <w:r>
        <w:rPr>
          <w:spacing w:val="1"/>
        </w:rPr>
        <w:t> </w:t>
      </w:r>
      <w:r>
        <w:rPr/>
        <w:t>en su informe del 2020, reportó una sobrevida a 3 años del 61% en el periodo 2016-2018</w:t>
      </w:r>
      <w:r>
        <w:rPr>
          <w:spacing w:val="1"/>
        </w:rPr>
        <w:t> </w:t>
      </w:r>
      <w:r>
        <w:rPr/>
        <w:t>para pacientes</w:t>
      </w:r>
      <w:r>
        <w:rPr>
          <w:spacing w:val="-2"/>
        </w:rPr>
        <w:t> </w:t>
      </w:r>
      <w:r>
        <w:rPr/>
        <w:t>mayores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18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sometidos</w:t>
      </w:r>
      <w:r>
        <w:rPr>
          <w:spacing w:val="-2"/>
        </w:rPr>
        <w:t> </w:t>
      </w:r>
      <w:r>
        <w:rPr/>
        <w:t>a</w:t>
      </w:r>
      <w:r>
        <w:rPr>
          <w:spacing w:val="6"/>
        </w:rPr>
        <w:t> </w:t>
      </w:r>
      <w:r>
        <w:rPr/>
        <w:t>TPH</w:t>
      </w:r>
      <w:r>
        <w:rPr>
          <w:spacing w:val="-3"/>
        </w:rPr>
        <w:t> </w:t>
      </w:r>
      <w:r>
        <w:rPr/>
        <w:t>alogénico</w:t>
      </w:r>
      <w:r>
        <w:rPr>
          <w:spacing w:val="2"/>
        </w:rPr>
        <w:t> </w:t>
      </w:r>
      <w:r>
        <w:rPr/>
        <w:t>(36).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7" w:firstLine="720"/>
        <w:jc w:val="both"/>
      </w:pPr>
      <w:r>
        <w:rPr/>
        <w:t>Otra</w:t>
      </w:r>
      <w:r>
        <w:rPr>
          <w:spacing w:val="-10"/>
        </w:rPr>
        <w:t> </w:t>
      </w:r>
      <w:r>
        <w:rPr/>
        <w:t>terapia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reciente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introdujo</w:t>
      </w:r>
      <w:r>
        <w:rPr>
          <w:spacing w:val="-11"/>
        </w:rPr>
        <w:t> </w:t>
      </w:r>
      <w:r>
        <w:rPr/>
        <w:t>hacia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año</w:t>
      </w:r>
      <w:r>
        <w:rPr>
          <w:spacing w:val="-11"/>
        </w:rPr>
        <w:t> </w:t>
      </w:r>
      <w:r>
        <w:rPr/>
        <w:t>2017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4"/>
        </w:rPr>
        <w:t> </w:t>
      </w:r>
      <w:r>
        <w:rPr/>
        <w:t>institucional</w:t>
      </w:r>
      <w:r>
        <w:rPr>
          <w:spacing w:val="-57"/>
        </w:rPr>
        <w:t> </w:t>
      </w:r>
      <w:r>
        <w:rPr/>
        <w:t>es el uso de blinatumumab, anticuerpo monoclonal que liga los linfocitos CD3 con células</w:t>
      </w:r>
      <w:r>
        <w:rPr>
          <w:spacing w:val="1"/>
        </w:rPr>
        <w:t> </w:t>
      </w:r>
      <w:r>
        <w:rPr/>
        <w:t>blásticas con positividad para CD19, facilitando así el proceso de eliminación de células</w:t>
      </w:r>
      <w:r>
        <w:rPr>
          <w:spacing w:val="1"/>
        </w:rPr>
        <w:t> </w:t>
      </w:r>
      <w:r>
        <w:rPr/>
        <w:t>tumorales. Este medicamento ha demostrado beneficio en el aumento de supervivencia libre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enfermedad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tasas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remisión</w:t>
      </w:r>
      <w:r>
        <w:rPr>
          <w:spacing w:val="-12"/>
        </w:rPr>
        <w:t> </w:t>
      </w:r>
      <w:r>
        <w:rPr/>
        <w:t>en</w:t>
      </w:r>
      <w:r>
        <w:rPr>
          <w:spacing w:val="-17"/>
        </w:rPr>
        <w:t> </w:t>
      </w:r>
      <w:r>
        <w:rPr/>
        <w:t>estos</w:t>
      </w:r>
      <w:r>
        <w:rPr>
          <w:spacing w:val="-14"/>
        </w:rPr>
        <w:t> </w:t>
      </w:r>
      <w:r>
        <w:rPr/>
        <w:t>pacientes.</w:t>
      </w:r>
      <w:r>
        <w:rPr>
          <w:spacing w:val="-12"/>
        </w:rPr>
        <w:t> </w:t>
      </w:r>
      <w:r>
        <w:rPr/>
        <w:t>Kantarjian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realizaron</w:t>
      </w:r>
      <w:r>
        <w:rPr>
          <w:spacing w:val="-12"/>
        </w:rPr>
        <w:t> </w:t>
      </w:r>
      <w:r>
        <w:rPr/>
        <w:t>un</w:t>
      </w:r>
      <w:r>
        <w:rPr>
          <w:spacing w:val="-17"/>
        </w:rPr>
        <w:t> </w:t>
      </w:r>
      <w:r>
        <w:rPr/>
        <w:t>ensayo</w:t>
      </w:r>
      <w:r>
        <w:rPr>
          <w:spacing w:val="-57"/>
        </w:rPr>
        <w:t> </w:t>
      </w:r>
      <w:r>
        <w:rPr/>
        <w:t>clínico aleatorizado que incluyó pacientes con LLA refractarios o en recaída y encontraron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disminución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29%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muerte</w:t>
      </w:r>
      <w:r>
        <w:rPr>
          <w:spacing w:val="-1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grupo</w:t>
      </w:r>
      <w:r>
        <w:rPr>
          <w:spacing w:val="-2"/>
        </w:rPr>
        <w:t> </w:t>
      </w:r>
      <w:r>
        <w:rPr/>
        <w:t>tratado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blinatumumab</w:t>
      </w:r>
      <w:r>
        <w:rPr>
          <w:spacing w:val="-1"/>
        </w:rPr>
        <w:t> </w:t>
      </w:r>
      <w:r>
        <w:rPr/>
        <w:t>vs</w:t>
      </w:r>
      <w:r>
        <w:rPr>
          <w:spacing w:val="-4"/>
        </w:rPr>
        <w:t> </w:t>
      </w:r>
      <w:r>
        <w:rPr/>
        <w:t>quimioterapia</w:t>
      </w:r>
      <w:r>
        <w:rPr>
          <w:spacing w:val="-58"/>
        </w:rPr>
        <w:t> </w:t>
      </w:r>
      <w:r>
        <w:rPr>
          <w:spacing w:val="-1"/>
        </w:rPr>
        <w:t>convencional</w:t>
      </w:r>
      <w:r>
        <w:rPr>
          <w:spacing w:val="-12"/>
        </w:rPr>
        <w:t> </w:t>
      </w:r>
      <w:r>
        <w:rPr>
          <w:spacing w:val="-1"/>
        </w:rPr>
        <w:t>(HR</w:t>
      </w:r>
      <w:r>
        <w:rPr>
          <w:spacing w:val="-12"/>
        </w:rPr>
        <w:t> </w:t>
      </w:r>
      <w:r>
        <w:rPr>
          <w:spacing w:val="-1"/>
        </w:rPr>
        <w:t>0,71;</w:t>
      </w:r>
      <w:r>
        <w:rPr>
          <w:spacing w:val="-12"/>
        </w:rPr>
        <w:t> </w:t>
      </w:r>
      <w:r>
        <w:rPr>
          <w:spacing w:val="-1"/>
        </w:rPr>
        <w:t>IC</w:t>
      </w:r>
      <w:r>
        <w:rPr>
          <w:spacing w:val="-12"/>
        </w:rPr>
        <w:t> </w:t>
      </w:r>
      <w:r>
        <w:rPr>
          <w:spacing w:val="-1"/>
        </w:rPr>
        <w:t>95%</w:t>
      </w:r>
      <w:r>
        <w:rPr>
          <w:spacing w:val="-12"/>
        </w:rPr>
        <w:t> </w:t>
      </w:r>
      <w:r>
        <w:rPr>
          <w:spacing w:val="-1"/>
        </w:rPr>
        <w:t>0,55-0,93;</w:t>
      </w:r>
      <w:r>
        <w:rPr>
          <w:spacing w:val="-15"/>
        </w:rPr>
        <w:t> </w:t>
      </w:r>
      <w:r>
        <w:rPr/>
        <w:t>p=0,01),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cual</w:t>
      </w:r>
      <w:r>
        <w:rPr>
          <w:spacing w:val="-12"/>
        </w:rPr>
        <w:t> </w:t>
      </w:r>
      <w:r>
        <w:rPr/>
        <w:t>fue</w:t>
      </w:r>
      <w:r>
        <w:rPr>
          <w:spacing w:val="-11"/>
        </w:rPr>
        <w:t> </w:t>
      </w:r>
      <w:r>
        <w:rPr/>
        <w:t>estadísticamente</w:t>
      </w:r>
      <w:r>
        <w:rPr>
          <w:spacing w:val="-11"/>
        </w:rPr>
        <w:t> </w:t>
      </w:r>
      <w:r>
        <w:rPr/>
        <w:t>significativa</w:t>
      </w:r>
      <w:r>
        <w:rPr>
          <w:spacing w:val="-57"/>
        </w:rPr>
        <w:t> </w:t>
      </w:r>
      <w:r>
        <w:rPr>
          <w:spacing w:val="-1"/>
        </w:rPr>
        <w:t>(3).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presente</w:t>
      </w:r>
      <w:r>
        <w:rPr>
          <w:spacing w:val="-15"/>
        </w:rPr>
        <w:t> </w:t>
      </w:r>
      <w:r>
        <w:rPr>
          <w:spacing w:val="-1"/>
        </w:rPr>
        <w:t>estudio</w:t>
      </w:r>
      <w:r>
        <w:rPr>
          <w:spacing w:val="-12"/>
        </w:rPr>
        <w:t> </w:t>
      </w:r>
      <w:r>
        <w:rPr>
          <w:spacing w:val="-1"/>
        </w:rPr>
        <w:t>encontró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disminución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/>
        <w:t>riesgo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mortalidad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46%</w:t>
      </w:r>
      <w:r>
        <w:rPr>
          <w:spacing w:val="-12"/>
        </w:rPr>
        <w:t> </w:t>
      </w:r>
      <w:r>
        <w:rPr/>
        <w:t>(RR</w:t>
      </w:r>
      <w:r>
        <w:rPr>
          <w:spacing w:val="-13"/>
        </w:rPr>
        <w:t> </w:t>
      </w:r>
      <w:r>
        <w:rPr/>
        <w:t>0,54;</w:t>
      </w:r>
      <w:r>
        <w:rPr>
          <w:spacing w:val="-57"/>
        </w:rPr>
        <w:t> </w:t>
      </w:r>
      <w:r>
        <w:rPr/>
        <w:t>IC 95% 0,09-3,18, p= 0,44), sin embargo estas diferencias no fueron estadísticamente</w:t>
      </w:r>
      <w:r>
        <w:rPr>
          <w:spacing w:val="1"/>
        </w:rPr>
        <w:t> </w:t>
      </w:r>
      <w:r>
        <w:rPr/>
        <w:t>significativas. Estos hallazgos probablemente se deben al número reducido de pacientes que</w:t>
      </w:r>
      <w:r>
        <w:rPr>
          <w:spacing w:val="-57"/>
        </w:rPr>
        <w:t> </w:t>
      </w:r>
      <w:r>
        <w:rPr/>
        <w:t>recibieron</w:t>
      </w:r>
      <w:r>
        <w:rPr>
          <w:spacing w:val="-1"/>
        </w:rPr>
        <w:t> </w:t>
      </w:r>
      <w:r>
        <w:rPr/>
        <w:t>quimioterapia</w:t>
      </w:r>
      <w:r>
        <w:rPr>
          <w:spacing w:val="5"/>
        </w:rPr>
        <w:t> </w:t>
      </w:r>
      <w:r>
        <w:rPr/>
        <w:t>con</w:t>
      </w:r>
      <w:r>
        <w:rPr>
          <w:spacing w:val="-1"/>
        </w:rPr>
        <w:t> </w:t>
      </w:r>
      <w:r>
        <w:rPr/>
        <w:t>blinatumumab en</w:t>
      </w:r>
      <w:r>
        <w:rPr>
          <w:spacing w:val="-1"/>
        </w:rPr>
        <w:t> </w:t>
      </w:r>
      <w:r>
        <w:rPr/>
        <w:t>el presente estudio.</w:t>
      </w:r>
    </w:p>
    <w:p>
      <w:pPr>
        <w:pStyle w:val="BodyText"/>
        <w:spacing w:line="480" w:lineRule="auto" w:before="2"/>
        <w:ind w:left="480" w:right="634" w:firstLine="720"/>
        <w:jc w:val="both"/>
      </w:pPr>
      <w:r>
        <w:rPr/>
        <w:t>La mortalidad para la LLA en adultos es alta. A pesar que las tasas de remisión</w:t>
      </w:r>
      <w:r>
        <w:rPr>
          <w:spacing w:val="1"/>
        </w:rPr>
        <w:t> </w:t>
      </w:r>
      <w:r>
        <w:rPr/>
        <w:t>completa pueden ser del 85-90% con los regímenes de quimioterapia, las tasas de sobrevida</w:t>
      </w:r>
      <w:r>
        <w:rPr>
          <w:spacing w:val="-57"/>
        </w:rPr>
        <w:t> </w:t>
      </w:r>
      <w:r>
        <w:rPr/>
        <w:t>a</w:t>
      </w:r>
      <w:r>
        <w:rPr>
          <w:spacing w:val="-4"/>
        </w:rPr>
        <w:t> </w:t>
      </w:r>
      <w:r>
        <w:rPr/>
        <w:t>largo</w:t>
      </w:r>
      <w:r>
        <w:rPr>
          <w:spacing w:val="-9"/>
        </w:rPr>
        <w:t> </w:t>
      </w:r>
      <w:r>
        <w:rPr/>
        <w:t>plazo</w:t>
      </w:r>
      <w:r>
        <w:rPr>
          <w:spacing w:val="-6"/>
        </w:rPr>
        <w:t> </w:t>
      </w:r>
      <w:r>
        <w:rPr/>
        <w:t>son</w:t>
      </w:r>
      <w:r>
        <w:rPr>
          <w:spacing w:val="-9"/>
        </w:rPr>
        <w:t> </w:t>
      </w:r>
      <w:r>
        <w:rPr/>
        <w:t>tan</w:t>
      </w:r>
      <w:r>
        <w:rPr>
          <w:spacing w:val="-6"/>
        </w:rPr>
        <w:t> </w:t>
      </w:r>
      <w:r>
        <w:rPr/>
        <w:t>solo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30-50%</w:t>
      </w:r>
      <w:r>
        <w:rPr>
          <w:spacing w:val="-6"/>
        </w:rPr>
        <w:t> </w:t>
      </w:r>
      <w:r>
        <w:rPr/>
        <w:t>(37,38).</w:t>
      </w:r>
      <w:r>
        <w:rPr>
          <w:spacing w:val="50"/>
        </w:rPr>
        <w:t> </w:t>
      </w:r>
      <w:r>
        <w:rPr/>
        <w:t>A</w:t>
      </w:r>
      <w:r>
        <w:rPr>
          <w:spacing w:val="-7"/>
        </w:rPr>
        <w:t> </w:t>
      </w:r>
      <w:r>
        <w:rPr/>
        <w:t>corto</w:t>
      </w:r>
      <w:r>
        <w:rPr>
          <w:spacing w:val="-9"/>
        </w:rPr>
        <w:t> </w:t>
      </w:r>
      <w:r>
        <w:rPr/>
        <w:t>plazo,</w:t>
      </w:r>
      <w:r>
        <w:rPr>
          <w:spacing w:val="-6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autores</w:t>
      </w:r>
      <w:r>
        <w:rPr>
          <w:spacing w:val="-7"/>
        </w:rPr>
        <w:t> </w:t>
      </w:r>
      <w:r>
        <w:rPr/>
        <w:t>han</w:t>
      </w:r>
      <w:r>
        <w:rPr>
          <w:spacing w:val="-6"/>
        </w:rPr>
        <w:t> </w:t>
      </w:r>
      <w:r>
        <w:rPr/>
        <w:t>reportado</w:t>
      </w:r>
      <w:r>
        <w:rPr>
          <w:spacing w:val="-58"/>
        </w:rPr>
        <w:t> </w:t>
      </w:r>
      <w:r>
        <w:rPr/>
        <w:t>sobrevidas</w:t>
      </w:r>
      <w:r>
        <w:rPr>
          <w:spacing w:val="-3"/>
        </w:rPr>
        <w:t> </w:t>
      </w:r>
      <w:r>
        <w:rPr/>
        <w:t>del 70-80%, lo</w:t>
      </w:r>
      <w:r>
        <w:rPr>
          <w:spacing w:val="-5"/>
        </w:rPr>
        <w:t> </w:t>
      </w:r>
      <w:r>
        <w:rPr/>
        <w:t>cual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concordante</w:t>
      </w:r>
      <w:r>
        <w:rPr>
          <w:spacing w:val="1"/>
        </w:rPr>
        <w:t> </w:t>
      </w:r>
      <w:r>
        <w:rPr/>
        <w:t>con</w:t>
      </w:r>
      <w:r>
        <w:rPr>
          <w:spacing w:val="-5"/>
        </w:rPr>
        <w:t> </w:t>
      </w:r>
      <w:r>
        <w:rPr/>
        <w:t>lo publicado</w:t>
      </w:r>
      <w:r>
        <w:rPr>
          <w:spacing w:val="-6"/>
        </w:rPr>
        <w:t> </w:t>
      </w:r>
      <w:r>
        <w:rPr/>
        <w:t>en este</w:t>
      </w:r>
      <w:r>
        <w:rPr>
          <w:spacing w:val="-3"/>
        </w:rPr>
        <w:t> </w:t>
      </w:r>
      <w:r>
        <w:rPr/>
        <w:t>estudio.</w:t>
      </w:r>
      <w:r>
        <w:rPr>
          <w:spacing w:val="8"/>
        </w:rPr>
        <w:t> </w:t>
      </w:r>
      <w:r>
        <w:rPr/>
        <w:t>(39–41)</w:t>
      </w:r>
    </w:p>
    <w:p>
      <w:pPr>
        <w:pStyle w:val="BodyText"/>
        <w:spacing w:line="480" w:lineRule="auto" w:before="1"/>
        <w:ind w:left="480" w:right="636" w:firstLine="720"/>
        <w:jc w:val="both"/>
      </w:pPr>
      <w:r>
        <w:rPr>
          <w:spacing w:val="-1"/>
        </w:rPr>
        <w:t>Al</w:t>
      </w:r>
      <w:r>
        <w:rPr>
          <w:spacing w:val="-12"/>
        </w:rPr>
        <w:t> </w:t>
      </w:r>
      <w:r>
        <w:rPr>
          <w:spacing w:val="-1"/>
        </w:rPr>
        <w:t>comparar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pacientes</w:t>
      </w:r>
      <w:r>
        <w:rPr>
          <w:spacing w:val="-14"/>
        </w:rPr>
        <w:t> </w:t>
      </w:r>
      <w:r>
        <w:rPr/>
        <w:t>por</w:t>
      </w:r>
      <w:r>
        <w:rPr>
          <w:spacing w:val="-11"/>
        </w:rPr>
        <w:t> </w:t>
      </w:r>
      <w:r>
        <w:rPr/>
        <w:t>cuatrienios,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encontró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mortalidad</w:t>
      </w:r>
      <w:r>
        <w:rPr>
          <w:spacing w:val="-12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primero</w:t>
      </w:r>
      <w:r>
        <w:rPr>
          <w:spacing w:val="-57"/>
        </w:rPr>
        <w:t> </w:t>
      </w:r>
      <w:r>
        <w:rPr/>
        <w:t>fue</w:t>
      </w:r>
      <w:r>
        <w:rPr>
          <w:spacing w:val="-4"/>
        </w:rPr>
        <w:t> </w:t>
      </w:r>
      <w:r>
        <w:rPr/>
        <w:t>mayor</w:t>
      </w:r>
      <w:r>
        <w:rPr>
          <w:spacing w:val="-4"/>
        </w:rPr>
        <w:t> </w:t>
      </w:r>
      <w:r>
        <w:rPr/>
        <w:t>(39,71%)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comparación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segundo</w:t>
      </w:r>
      <w:r>
        <w:rPr>
          <w:spacing w:val="-5"/>
        </w:rPr>
        <w:t> </w:t>
      </w:r>
      <w:r>
        <w:rPr/>
        <w:t>(28,33%),</w:t>
      </w:r>
      <w:r>
        <w:rPr>
          <w:spacing w:val="-4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estas</w:t>
      </w:r>
      <w:r>
        <w:rPr>
          <w:spacing w:val="-6"/>
        </w:rPr>
        <w:t> </w:t>
      </w:r>
      <w:r>
        <w:rPr/>
        <w:t>diferencias</w:t>
      </w:r>
      <w:r>
        <w:rPr>
          <w:spacing w:val="-7"/>
        </w:rPr>
        <w:t> </w:t>
      </w:r>
      <w:r>
        <w:rPr/>
        <w:t>no</w:t>
      </w:r>
      <w:r>
        <w:rPr>
          <w:spacing w:val="-57"/>
        </w:rPr>
        <w:t> </w:t>
      </w:r>
      <w:r>
        <w:rPr/>
        <w:t>fueron</w:t>
      </w:r>
      <w:r>
        <w:rPr>
          <w:spacing w:val="-8"/>
        </w:rPr>
        <w:t> </w:t>
      </w:r>
      <w:r>
        <w:rPr/>
        <w:t>estadísticamente</w:t>
      </w:r>
      <w:r>
        <w:rPr>
          <w:spacing w:val="-7"/>
        </w:rPr>
        <w:t> </w:t>
      </w:r>
      <w:r>
        <w:rPr/>
        <w:t>significativas</w:t>
      </w:r>
      <w:r>
        <w:rPr>
          <w:spacing w:val="-9"/>
        </w:rPr>
        <w:t> </w:t>
      </w:r>
      <w:r>
        <w:rPr/>
        <w:t>(p=0,196).</w:t>
      </w:r>
      <w:r>
        <w:rPr>
          <w:spacing w:val="-7"/>
        </w:rPr>
        <w:t> </w:t>
      </w:r>
      <w:r>
        <w:rPr/>
        <w:t>Datos</w:t>
      </w:r>
      <w:r>
        <w:rPr>
          <w:spacing w:val="-10"/>
        </w:rPr>
        <w:t> </w:t>
      </w:r>
      <w:r>
        <w:rPr/>
        <w:t>similares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hallaron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comparar</w:t>
      </w:r>
      <w:r>
        <w:rPr>
          <w:spacing w:val="-7"/>
        </w:rPr>
        <w:t> </w:t>
      </w:r>
      <w:r>
        <w:rPr/>
        <w:t>los</w:t>
      </w:r>
      <w:r>
        <w:rPr>
          <w:spacing w:val="-58"/>
        </w:rPr>
        <w:t> </w:t>
      </w:r>
      <w:r>
        <w:rPr/>
        <w:t>periodos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analizar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asociación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recaída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12</w:t>
      </w:r>
      <w:r>
        <w:rPr>
          <w:spacing w:val="-6"/>
        </w:rPr>
        <w:t> </w:t>
      </w:r>
      <w:r>
        <w:rPr/>
        <w:t>meses,</w:t>
      </w:r>
      <w:r>
        <w:rPr>
          <w:spacing w:val="-6"/>
        </w:rPr>
        <w:t> </w:t>
      </w:r>
      <w:r>
        <w:rPr/>
        <w:t>encontrando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fue</w:t>
      </w:r>
      <w:r>
        <w:rPr>
          <w:spacing w:val="-4"/>
        </w:rPr>
        <w:t> </w:t>
      </w:r>
      <w:r>
        <w:rPr/>
        <w:t>mayor</w:t>
      </w:r>
      <w:r>
        <w:rPr>
          <w:spacing w:val="-9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58"/>
        </w:rPr>
        <w:t> </w:t>
      </w:r>
      <w:r>
        <w:rPr/>
        <w:t>primer cuatrienio (10,45%) vs el segundo (5,17%), pero estos hallazgos tampoco fueron</w:t>
      </w:r>
      <w:r>
        <w:rPr>
          <w:spacing w:val="1"/>
        </w:rPr>
        <w:t> </w:t>
      </w:r>
      <w:r>
        <w:rPr/>
        <w:t>estadísticamente significativos</w:t>
      </w:r>
      <w:r>
        <w:rPr>
          <w:spacing w:val="-2"/>
        </w:rPr>
        <w:t> </w:t>
      </w:r>
      <w:r>
        <w:rPr/>
        <w:t>(p=0,337).</w:t>
      </w:r>
    </w:p>
    <w:p>
      <w:pPr>
        <w:pStyle w:val="BodyText"/>
        <w:spacing w:line="480" w:lineRule="auto" w:before="1"/>
        <w:ind w:left="480" w:right="640" w:firstLine="720"/>
        <w:jc w:val="both"/>
      </w:pP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búsqueda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literatura</w:t>
      </w:r>
      <w:r>
        <w:rPr>
          <w:spacing w:val="-9"/>
        </w:rPr>
        <w:t> </w:t>
      </w:r>
      <w:r>
        <w:rPr/>
        <w:t>realizada,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encontraron</w:t>
      </w:r>
      <w:r>
        <w:rPr>
          <w:spacing w:val="-10"/>
        </w:rPr>
        <w:t> </w:t>
      </w:r>
      <w:r>
        <w:rPr/>
        <w:t>pocos</w:t>
      </w:r>
      <w:r>
        <w:rPr>
          <w:spacing w:val="-4"/>
        </w:rPr>
        <w:t> </w:t>
      </w:r>
      <w:r>
        <w:rPr/>
        <w:t>estudios</w:t>
      </w:r>
      <w:r>
        <w:rPr>
          <w:spacing w:val="-10"/>
        </w:rPr>
        <w:t> </w:t>
      </w:r>
      <w:r>
        <w:rPr/>
        <w:t>cuyo</w:t>
      </w:r>
      <w:r>
        <w:rPr>
          <w:spacing w:val="-10"/>
        </w:rPr>
        <w:t> </w:t>
      </w:r>
      <w:r>
        <w:rPr/>
        <w:t>objetivo</w:t>
      </w:r>
      <w:r>
        <w:rPr>
          <w:spacing w:val="-57"/>
        </w:rPr>
        <w:t> </w:t>
      </w:r>
      <w:r>
        <w:rPr/>
        <w:t>fuese</w:t>
      </w:r>
      <w:r>
        <w:rPr>
          <w:spacing w:val="32"/>
        </w:rPr>
        <w:t> </w:t>
      </w:r>
      <w:r>
        <w:rPr/>
        <w:t>realizar</w:t>
      </w:r>
      <w:r>
        <w:rPr>
          <w:spacing w:val="32"/>
        </w:rPr>
        <w:t> </w:t>
      </w:r>
      <w:r>
        <w:rPr/>
        <w:t>comparación</w:t>
      </w:r>
      <w:r>
        <w:rPr>
          <w:spacing w:val="28"/>
        </w:rPr>
        <w:t> </w:t>
      </w:r>
      <w:r>
        <w:rPr/>
        <w:t>por</w:t>
      </w:r>
      <w:r>
        <w:rPr>
          <w:spacing w:val="32"/>
        </w:rPr>
        <w:t> </w:t>
      </w:r>
      <w:r>
        <w:rPr/>
        <w:t>periodos.</w:t>
      </w:r>
      <w:r>
        <w:rPr>
          <w:spacing w:val="14"/>
        </w:rPr>
        <w:t> </w:t>
      </w:r>
      <w:r>
        <w:rPr>
          <w:color w:val="171717"/>
        </w:rPr>
        <w:t>Un</w:t>
      </w:r>
      <w:r>
        <w:rPr>
          <w:color w:val="171717"/>
          <w:spacing w:val="31"/>
        </w:rPr>
        <w:t> </w:t>
      </w:r>
      <w:r>
        <w:rPr>
          <w:color w:val="171717"/>
        </w:rPr>
        <w:t>estudio</w:t>
      </w:r>
      <w:r>
        <w:rPr>
          <w:color w:val="171717"/>
          <w:spacing w:val="32"/>
        </w:rPr>
        <w:t> </w:t>
      </w:r>
      <w:r>
        <w:rPr>
          <w:color w:val="171717"/>
        </w:rPr>
        <w:t>realizado</w:t>
      </w:r>
      <w:r>
        <w:rPr>
          <w:color w:val="171717"/>
          <w:spacing w:val="32"/>
        </w:rPr>
        <w:t> </w:t>
      </w:r>
      <w:r>
        <w:rPr>
          <w:color w:val="171717"/>
        </w:rPr>
        <w:t>en</w:t>
      </w:r>
      <w:r>
        <w:rPr>
          <w:color w:val="171717"/>
          <w:spacing w:val="31"/>
        </w:rPr>
        <w:t> </w:t>
      </w:r>
      <w:r>
        <w:rPr>
          <w:color w:val="171717"/>
        </w:rPr>
        <w:t>Arabia</w:t>
      </w:r>
      <w:r>
        <w:rPr>
          <w:color w:val="171717"/>
          <w:spacing w:val="33"/>
        </w:rPr>
        <w:t> </w:t>
      </w:r>
      <w:r>
        <w:rPr>
          <w:color w:val="171717"/>
        </w:rPr>
        <w:t>Saudita</w:t>
      </w:r>
      <w:r>
        <w:rPr>
          <w:color w:val="171717"/>
          <w:spacing w:val="33"/>
        </w:rPr>
        <w:t> </w:t>
      </w:r>
      <w:r>
        <w:rPr>
          <w:color w:val="171717"/>
        </w:rPr>
        <w:t>y</w:t>
      </w:r>
      <w:r>
        <w:rPr>
          <w:color w:val="171717"/>
          <w:spacing w:val="31"/>
        </w:rPr>
        <w:t> </w:t>
      </w:r>
      <w:r>
        <w:rPr>
          <w:color w:val="171717"/>
        </w:rPr>
        <w:t>que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4"/>
        <w:jc w:val="both"/>
      </w:pPr>
      <w:r>
        <w:rPr>
          <w:color w:val="171717"/>
        </w:rPr>
        <w:t>incluyó 686 niños con diagnóstico de LLA entre los años 1989 a 2014, realizó análisis</w:t>
      </w:r>
      <w:r>
        <w:rPr>
          <w:color w:val="171717"/>
          <w:spacing w:val="1"/>
        </w:rPr>
        <w:t> </w:t>
      </w:r>
      <w:r>
        <w:rPr>
          <w:color w:val="171717"/>
          <w:spacing w:val="-1"/>
        </w:rPr>
        <w:t>comparativo</w:t>
      </w:r>
      <w:r>
        <w:rPr>
          <w:color w:val="171717"/>
          <w:spacing w:val="-17"/>
        </w:rPr>
        <w:t> </w:t>
      </w:r>
      <w:r>
        <w:rPr>
          <w:color w:val="171717"/>
        </w:rPr>
        <w:t>entre</w:t>
      </w:r>
      <w:r>
        <w:rPr>
          <w:color w:val="171717"/>
          <w:spacing w:val="-11"/>
        </w:rPr>
        <w:t> </w:t>
      </w:r>
      <w:r>
        <w:rPr>
          <w:color w:val="171717"/>
        </w:rPr>
        <w:t>3</w:t>
      </w:r>
      <w:r>
        <w:rPr>
          <w:color w:val="171717"/>
          <w:spacing w:val="-12"/>
        </w:rPr>
        <w:t> </w:t>
      </w:r>
      <w:r>
        <w:rPr>
          <w:color w:val="171717"/>
        </w:rPr>
        <w:t>periodos</w:t>
      </w:r>
      <w:r>
        <w:rPr>
          <w:color w:val="171717"/>
          <w:spacing w:val="-13"/>
        </w:rPr>
        <w:t> </w:t>
      </w:r>
      <w:r>
        <w:rPr>
          <w:color w:val="171717"/>
        </w:rPr>
        <w:t>(periodo</w:t>
      </w:r>
      <w:r>
        <w:rPr>
          <w:color w:val="171717"/>
          <w:spacing w:val="-12"/>
        </w:rPr>
        <w:t> </w:t>
      </w:r>
      <w:r>
        <w:rPr>
          <w:color w:val="171717"/>
        </w:rPr>
        <w:t>1:</w:t>
      </w:r>
      <w:r>
        <w:rPr>
          <w:color w:val="171717"/>
          <w:spacing w:val="-12"/>
        </w:rPr>
        <w:t> </w:t>
      </w:r>
      <w:r>
        <w:rPr>
          <w:color w:val="171717"/>
        </w:rPr>
        <w:t>1989-2000,</w:t>
      </w:r>
      <w:r>
        <w:rPr>
          <w:color w:val="171717"/>
          <w:spacing w:val="-12"/>
        </w:rPr>
        <w:t> </w:t>
      </w:r>
      <w:r>
        <w:rPr>
          <w:color w:val="171717"/>
        </w:rPr>
        <w:t>periodo</w:t>
      </w:r>
      <w:r>
        <w:rPr>
          <w:color w:val="171717"/>
          <w:spacing w:val="-11"/>
        </w:rPr>
        <w:t> </w:t>
      </w:r>
      <w:r>
        <w:rPr>
          <w:color w:val="171717"/>
        </w:rPr>
        <w:t>2:</w:t>
      </w:r>
      <w:r>
        <w:rPr>
          <w:color w:val="171717"/>
          <w:spacing w:val="-12"/>
        </w:rPr>
        <w:t> </w:t>
      </w:r>
      <w:r>
        <w:rPr>
          <w:color w:val="171717"/>
        </w:rPr>
        <w:t>2001</w:t>
      </w:r>
      <w:r>
        <w:rPr>
          <w:color w:val="171717"/>
          <w:spacing w:val="-17"/>
        </w:rPr>
        <w:t> </w:t>
      </w:r>
      <w:r>
        <w:rPr>
          <w:color w:val="171717"/>
        </w:rPr>
        <w:t>a</w:t>
      </w:r>
      <w:r>
        <w:rPr>
          <w:color w:val="171717"/>
          <w:spacing w:val="-10"/>
        </w:rPr>
        <w:t> </w:t>
      </w:r>
      <w:r>
        <w:rPr>
          <w:color w:val="171717"/>
        </w:rPr>
        <w:t>2007,</w:t>
      </w:r>
      <w:r>
        <w:rPr>
          <w:color w:val="171717"/>
          <w:spacing w:val="-12"/>
        </w:rPr>
        <w:t> </w:t>
      </w:r>
      <w:r>
        <w:rPr>
          <w:color w:val="171717"/>
        </w:rPr>
        <w:t>periodo</w:t>
      </w:r>
      <w:r>
        <w:rPr>
          <w:color w:val="171717"/>
          <w:spacing w:val="-17"/>
        </w:rPr>
        <w:t> </w:t>
      </w:r>
      <w:r>
        <w:rPr>
          <w:color w:val="171717"/>
        </w:rPr>
        <w:t>3:</w:t>
      </w:r>
      <w:r>
        <w:rPr>
          <w:color w:val="171717"/>
          <w:spacing w:val="-12"/>
        </w:rPr>
        <w:t> </w:t>
      </w:r>
      <w:r>
        <w:rPr>
          <w:color w:val="171717"/>
        </w:rPr>
        <w:t>2008</w:t>
      </w:r>
    </w:p>
    <w:p>
      <w:pPr>
        <w:pStyle w:val="BodyText"/>
        <w:spacing w:line="480" w:lineRule="auto"/>
        <w:ind w:left="480" w:right="636"/>
        <w:jc w:val="both"/>
      </w:pPr>
      <w:r>
        <w:rPr>
          <w:color w:val="171717"/>
        </w:rPr>
        <w:t>a 2014),</w:t>
      </w:r>
      <w:r>
        <w:rPr>
          <w:color w:val="171717"/>
          <w:spacing w:val="-1"/>
        </w:rPr>
        <w:t> </w:t>
      </w:r>
      <w:r>
        <w:rPr>
          <w:color w:val="171717"/>
        </w:rPr>
        <w:t>encontrando</w:t>
      </w:r>
      <w:r>
        <w:rPr>
          <w:color w:val="171717"/>
          <w:spacing w:val="-5"/>
        </w:rPr>
        <w:t> </w:t>
      </w:r>
      <w:r>
        <w:rPr>
          <w:color w:val="171717"/>
        </w:rPr>
        <w:t>que la</w:t>
      </w:r>
      <w:r>
        <w:rPr>
          <w:color w:val="171717"/>
          <w:spacing w:val="1"/>
        </w:rPr>
        <w:t> </w:t>
      </w:r>
      <w:r>
        <w:rPr>
          <w:color w:val="171717"/>
        </w:rPr>
        <w:t>supervivencia</w:t>
      </w:r>
      <w:r>
        <w:rPr>
          <w:color w:val="171717"/>
          <w:spacing w:val="-4"/>
        </w:rPr>
        <w:t> </w:t>
      </w:r>
      <w:r>
        <w:rPr>
          <w:color w:val="171717"/>
        </w:rPr>
        <w:t>a</w:t>
      </w:r>
      <w:r>
        <w:rPr>
          <w:color w:val="171717"/>
          <w:spacing w:val="1"/>
        </w:rPr>
        <w:t> </w:t>
      </w:r>
      <w:r>
        <w:rPr>
          <w:color w:val="171717"/>
        </w:rPr>
        <w:t>5</w:t>
      </w:r>
      <w:r>
        <w:rPr>
          <w:color w:val="171717"/>
          <w:spacing w:val="-1"/>
        </w:rPr>
        <w:t> </w:t>
      </w:r>
      <w:r>
        <w:rPr>
          <w:color w:val="171717"/>
        </w:rPr>
        <w:t>años</w:t>
      </w:r>
      <w:r>
        <w:rPr>
          <w:color w:val="171717"/>
          <w:spacing w:val="-6"/>
        </w:rPr>
        <w:t> </w:t>
      </w:r>
      <w:r>
        <w:rPr>
          <w:color w:val="171717"/>
        </w:rPr>
        <w:t>mejoró</w:t>
      </w:r>
      <w:r>
        <w:rPr>
          <w:color w:val="171717"/>
          <w:spacing w:val="-5"/>
        </w:rPr>
        <w:t> </w:t>
      </w:r>
      <w:r>
        <w:rPr>
          <w:color w:val="171717"/>
        </w:rPr>
        <w:t>del</w:t>
      </w:r>
      <w:r>
        <w:rPr>
          <w:color w:val="171717"/>
          <w:spacing w:val="-3"/>
        </w:rPr>
        <w:t> </w:t>
      </w:r>
      <w:r>
        <w:rPr>
          <w:color w:val="171717"/>
        </w:rPr>
        <w:t>74%</w:t>
      </w:r>
      <w:r>
        <w:rPr>
          <w:color w:val="171717"/>
          <w:spacing w:val="6"/>
        </w:rPr>
        <w:t> </w:t>
      </w:r>
      <w:r>
        <w:rPr/>
        <w:t>± 2,7%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89.5%</w:t>
      </w:r>
      <w:r>
        <w:rPr>
          <w:spacing w:val="-5"/>
        </w:rPr>
        <w:t> </w:t>
      </w:r>
      <w:r>
        <w:rPr/>
        <w:t>± 2.3%</w:t>
      </w:r>
      <w:r>
        <w:rPr>
          <w:spacing w:val="-58"/>
        </w:rPr>
        <w:t> </w:t>
      </w:r>
      <w:r>
        <w:rPr/>
        <w:t>en el periodo 3 (</w:t>
      </w:r>
      <w:r>
        <w:rPr>
          <w:i/>
        </w:rPr>
        <w:t>P &lt; </w:t>
      </w:r>
      <w:r>
        <w:rPr/>
        <w:t>0.0001) (42).</w:t>
      </w:r>
      <w:r>
        <w:rPr>
          <w:spacing w:val="1"/>
        </w:rPr>
        <w:t> </w:t>
      </w:r>
      <w:r>
        <w:rPr/>
        <w:t>En adultos, un estudio descriptivo realizado en Estados</w:t>
      </w:r>
      <w:r>
        <w:rPr>
          <w:spacing w:val="1"/>
        </w:rPr>
        <w:t> </w:t>
      </w:r>
      <w:r>
        <w:rPr/>
        <w:t>Unidos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incluyó</w:t>
      </w:r>
      <w:r>
        <w:rPr>
          <w:spacing w:val="-6"/>
        </w:rPr>
        <w:t> </w:t>
      </w:r>
      <w:r>
        <w:rPr/>
        <w:t>393</w:t>
      </w:r>
      <w:r>
        <w:rPr>
          <w:spacing w:val="-5"/>
        </w:rPr>
        <w:t> </w:t>
      </w:r>
      <w:r>
        <w:rPr/>
        <w:t>805</w:t>
      </w:r>
      <w:r>
        <w:rPr>
          <w:spacing w:val="-1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37</w:t>
      </w:r>
      <w:r>
        <w:rPr>
          <w:spacing w:val="-5"/>
        </w:rPr>
        <w:t> </w:t>
      </w:r>
      <w:r>
        <w:rPr/>
        <w:t>estados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diagnóstico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leucemia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los</w:t>
      </w:r>
      <w:r>
        <w:rPr>
          <w:spacing w:val="-57"/>
        </w:rPr>
        <w:t> </w:t>
      </w:r>
      <w:r>
        <w:rPr/>
        <w:t>años</w:t>
      </w:r>
      <w:r>
        <w:rPr>
          <w:spacing w:val="-10"/>
        </w:rPr>
        <w:t> </w:t>
      </w:r>
      <w:r>
        <w:rPr/>
        <w:t>1995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2009,</w:t>
      </w:r>
      <w:r>
        <w:rPr>
          <w:spacing w:val="-8"/>
        </w:rPr>
        <w:t> </w:t>
      </w:r>
      <w:r>
        <w:rPr/>
        <w:t>encontró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supervivencia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pacientes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LLA</w:t>
      </w:r>
      <w:r>
        <w:rPr>
          <w:spacing w:val="-10"/>
        </w:rPr>
        <w:t> </w:t>
      </w:r>
      <w:r>
        <w:rPr/>
        <w:t>había</w:t>
      </w:r>
      <w:r>
        <w:rPr>
          <w:spacing w:val="-7"/>
        </w:rPr>
        <w:t> </w:t>
      </w:r>
      <w:r>
        <w:rPr/>
        <w:t>mejorado</w:t>
      </w:r>
      <w:r>
        <w:rPr>
          <w:spacing w:val="-57"/>
        </w:rPr>
        <w:t> </w:t>
      </w:r>
      <w:r>
        <w:rPr/>
        <w:t>si se comparaba entre cuatrienios, de un 34,8% entre los periodos 1995 -1999 a 44% del</w:t>
      </w:r>
      <w:r>
        <w:rPr>
          <w:spacing w:val="1"/>
        </w:rPr>
        <w:t> </w:t>
      </w:r>
      <w:r>
        <w:rPr/>
        <w:t>periodo 2005-2009 (43).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37" w:id="60"/>
      <w:bookmarkEnd w:id="60"/>
      <w:r>
        <w:rPr>
          <w:b w:val="0"/>
        </w:rPr>
      </w:r>
      <w:bookmarkStart w:name="_bookmark37" w:id="61"/>
      <w:bookmarkEnd w:id="61"/>
      <w:r>
        <w:rPr/>
        <w:t>F</w:t>
      </w:r>
      <w:r>
        <w:rPr/>
        <w:t>ortalezas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debilidades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80" w:right="634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estudio constituye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de análisis</w:t>
      </w:r>
      <w:r>
        <w:rPr>
          <w:spacing w:val="1"/>
        </w:rPr>
        <w:t> </w:t>
      </w:r>
      <w:r>
        <w:rPr/>
        <w:t>único al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habituales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hematología,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comparación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cuatrienios</w:t>
      </w:r>
      <w:r>
        <w:rPr>
          <w:spacing w:val="-8"/>
        </w:rPr>
        <w:t> </w:t>
      </w:r>
      <w:r>
        <w:rPr/>
        <w:t>permite</w:t>
      </w:r>
      <w:r>
        <w:rPr>
          <w:spacing w:val="-6"/>
        </w:rPr>
        <w:t> </w:t>
      </w:r>
      <w:r>
        <w:rPr/>
        <w:t>identificar</w:t>
      </w:r>
      <w:r>
        <w:rPr>
          <w:spacing w:val="-10"/>
        </w:rPr>
        <w:t> </w:t>
      </w:r>
      <w:r>
        <w:rPr/>
        <w:t>áreas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mejora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cuanto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diagnóstico</w:t>
      </w:r>
      <w:r>
        <w:rPr>
          <w:spacing w:val="7"/>
        </w:rPr>
        <w:t> </w:t>
      </w:r>
      <w:r>
        <w:rPr/>
        <w:t>y/o</w:t>
      </w:r>
      <w:r>
        <w:rPr>
          <w:spacing w:val="-58"/>
        </w:rPr>
        <w:t> </w:t>
      </w:r>
      <w:r>
        <w:rPr/>
        <w:t>tratamiento de estos pacientes. Además, se trata de un registro epidemiológico pionero en el</w:t>
      </w:r>
      <w:r>
        <w:rPr>
          <w:spacing w:val="-57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</w:t>
      </w:r>
      <w:r>
        <w:rPr>
          <w:spacing w:val="-2"/>
        </w:rPr>
        <w:t> </w:t>
      </w:r>
      <w:r>
        <w:rPr/>
        <w:t>con diagnóstico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LLA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line="480" w:lineRule="auto" w:before="1"/>
        <w:ind w:left="480" w:right="636" w:firstLine="720"/>
        <w:jc w:val="both"/>
      </w:pP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limitaciones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9"/>
        </w:rPr>
        <w:t> </w:t>
      </w:r>
      <w:r>
        <w:rPr/>
        <w:t>estudio</w:t>
      </w:r>
      <w:r>
        <w:rPr>
          <w:spacing w:val="-6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poco</w:t>
      </w:r>
      <w:r>
        <w:rPr>
          <w:spacing w:val="-7"/>
        </w:rPr>
        <w:t> </w:t>
      </w:r>
      <w:r>
        <w:rPr/>
        <w:t>periodo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seguimiento</w:t>
      </w:r>
      <w:r>
        <w:rPr>
          <w:spacing w:val="-57"/>
        </w:rPr>
        <w:t> </w:t>
      </w:r>
      <w:r>
        <w:rPr/>
        <w:t>realizado a los pacientes (12 meses) posterior al diagnóstico. Teniendo en cuenta que la</w:t>
      </w:r>
      <w:r>
        <w:rPr>
          <w:spacing w:val="1"/>
        </w:rPr>
        <w:t> </w:t>
      </w:r>
      <w:r>
        <w:rPr>
          <w:spacing w:val="-1"/>
        </w:rPr>
        <w:t>mortalidad</w:t>
      </w:r>
      <w:r>
        <w:rPr>
          <w:spacing w:val="-17"/>
        </w:rPr>
        <w:t> </w:t>
      </w:r>
      <w:r>
        <w:rPr>
          <w:spacing w:val="-1"/>
        </w:rPr>
        <w:t>aumenta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sobrevida</w:t>
      </w:r>
      <w:r>
        <w:rPr>
          <w:spacing w:val="-15"/>
        </w:rPr>
        <w:t> </w:t>
      </w:r>
      <w:r>
        <w:rPr/>
        <w:t>libre</w:t>
      </w:r>
      <w:r>
        <w:rPr>
          <w:spacing w:val="-11"/>
        </w:rPr>
        <w:t> </w:t>
      </w:r>
      <w:r>
        <w:rPr/>
        <w:t>de</w:t>
      </w:r>
      <w:r>
        <w:rPr>
          <w:spacing w:val="-19"/>
        </w:rPr>
        <w:t> </w:t>
      </w:r>
      <w:r>
        <w:rPr/>
        <w:t>evento</w:t>
      </w:r>
      <w:r>
        <w:rPr>
          <w:spacing w:val="-16"/>
        </w:rPr>
        <w:t> </w:t>
      </w:r>
      <w:r>
        <w:rPr/>
        <w:t>disminuye</w:t>
      </w:r>
      <w:r>
        <w:rPr>
          <w:spacing w:val="-11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4"/>
        </w:rPr>
        <w:t> </w:t>
      </w:r>
      <w:r>
        <w:rPr/>
        <w:t>pacientes</w:t>
      </w:r>
      <w:r>
        <w:rPr>
          <w:spacing w:val="-17"/>
        </w:rPr>
        <w:t> </w:t>
      </w:r>
      <w:r>
        <w:rPr/>
        <w:t>con</w:t>
      </w:r>
      <w:r>
        <w:rPr>
          <w:spacing w:val="-12"/>
        </w:rPr>
        <w:t> </w:t>
      </w:r>
      <w:r>
        <w:rPr/>
        <w:t>diagnóstico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LLA,</w:t>
      </w:r>
      <w:r>
        <w:rPr>
          <w:spacing w:val="-1"/>
        </w:rPr>
        <w:t> </w:t>
      </w:r>
      <w:r>
        <w:rPr/>
        <w:t>se hace</w:t>
      </w:r>
      <w:r>
        <w:rPr>
          <w:spacing w:val="-1"/>
        </w:rPr>
        <w:t> </w:t>
      </w:r>
      <w:r>
        <w:rPr/>
        <w:t>necesario</w:t>
      </w:r>
      <w:r>
        <w:rPr>
          <w:spacing w:val="-6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largo</w:t>
      </w:r>
      <w:r>
        <w:rPr>
          <w:spacing w:val="-1"/>
        </w:rPr>
        <w:t> </w:t>
      </w:r>
      <w:r>
        <w:rPr/>
        <w:t>plazo</w:t>
      </w:r>
      <w:r>
        <w:rPr>
          <w:spacing w:val="-2"/>
        </w:rPr>
        <w:t> </w:t>
      </w:r>
      <w:r>
        <w:rPr/>
        <w:t>de estos</w:t>
      </w:r>
      <w:r>
        <w:rPr>
          <w:spacing w:val="-3"/>
        </w:rPr>
        <w:t> </w:t>
      </w:r>
      <w:r>
        <w:rPr/>
        <w:t>pacientes.</w:t>
      </w:r>
    </w:p>
    <w:p>
      <w:pPr>
        <w:pStyle w:val="BodyText"/>
        <w:spacing w:line="480" w:lineRule="auto" w:before="1"/>
        <w:ind w:left="480" w:right="638" w:firstLine="720"/>
        <w:jc w:val="both"/>
      </w:pPr>
      <w:r>
        <w:rPr/>
        <w:t>Debido a la situación de salud pública secundaria a la Pandemia por virus SARS-</w:t>
      </w:r>
      <w:r>
        <w:rPr>
          <w:spacing w:val="1"/>
        </w:rPr>
        <w:t> </w:t>
      </w:r>
      <w:r>
        <w:rPr/>
        <w:t>CoV-2 y el Estado de Emergencia Económica, Social y Ecológica en todo el territorio</w:t>
      </w:r>
      <w:r>
        <w:rPr>
          <w:spacing w:val="1"/>
        </w:rPr>
        <w:t> </w:t>
      </w:r>
      <w:r>
        <w:rPr/>
        <w:t>Nacional,</w:t>
      </w:r>
      <w:r>
        <w:rPr>
          <w:spacing w:val="-10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logró</w:t>
      </w:r>
      <w:r>
        <w:rPr>
          <w:spacing w:val="-9"/>
        </w:rPr>
        <w:t> </w:t>
      </w:r>
      <w:r>
        <w:rPr/>
        <w:t>captar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pacientes</w:t>
      </w:r>
      <w:r>
        <w:rPr>
          <w:spacing w:val="-11"/>
        </w:rPr>
        <w:t> </w:t>
      </w:r>
      <w:r>
        <w:rPr/>
        <w:t>que</w:t>
      </w:r>
      <w:r>
        <w:rPr>
          <w:spacing w:val="-4"/>
        </w:rPr>
        <w:t> </w:t>
      </w:r>
      <w:r>
        <w:rPr/>
        <w:t>fueron</w:t>
      </w:r>
      <w:r>
        <w:rPr>
          <w:spacing w:val="-9"/>
        </w:rPr>
        <w:t> </w:t>
      </w:r>
      <w:r>
        <w:rPr/>
        <w:t>atendidos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Junio</w:t>
      </w:r>
      <w:r>
        <w:rPr>
          <w:spacing w:val="-6"/>
        </w:rPr>
        <w:t> </w:t>
      </w:r>
      <w:r>
        <w:rPr/>
        <w:t>2020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Dic</w:t>
      </w:r>
      <w:r>
        <w:rPr>
          <w:spacing w:val="-12"/>
        </w:rPr>
        <w:t> </w:t>
      </w:r>
      <w:r>
        <w:rPr/>
        <w:t>de</w:t>
      </w:r>
      <w:r>
        <w:rPr>
          <w:spacing w:val="-4"/>
        </w:rPr>
        <w:t> </w:t>
      </w:r>
      <w:r>
        <w:rPr/>
        <w:t>2020,</w:t>
      </w:r>
      <w:r>
        <w:rPr>
          <w:spacing w:val="-58"/>
        </w:rPr>
        <w:t> </w:t>
      </w:r>
      <w:r>
        <w:rPr/>
        <w:t>afectando</w:t>
      </w:r>
      <w:r>
        <w:rPr>
          <w:spacing w:val="-1"/>
        </w:rPr>
        <w:t> </w:t>
      </w:r>
      <w:r>
        <w:rPr/>
        <w:t>el componente</w:t>
      </w:r>
      <w:r>
        <w:rPr>
          <w:spacing w:val="1"/>
        </w:rPr>
        <w:t> </w:t>
      </w:r>
      <w:r>
        <w:rPr/>
        <w:t>prospectivo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estudio.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38" w:firstLine="720"/>
        <w:jc w:val="both"/>
      </w:pPr>
      <w:r>
        <w:rPr/>
        <w:t>Otra limitación de este estudio</w:t>
      </w:r>
      <w:r>
        <w:rPr>
          <w:spacing w:val="1"/>
        </w:rPr>
        <w:t> </w:t>
      </w:r>
      <w:r>
        <w:rPr/>
        <w:t>es su naturaleza retrospectiva, lo cual limita la</w:t>
      </w:r>
      <w:r>
        <w:rPr>
          <w:spacing w:val="1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extraída.</w:t>
      </w:r>
      <w:r>
        <w:rPr>
          <w:spacing w:val="-7"/>
        </w:rPr>
        <w:t> </w:t>
      </w:r>
      <w:r>
        <w:rPr/>
        <w:t>Esto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pudo</w:t>
      </w:r>
      <w:r>
        <w:rPr>
          <w:spacing w:val="-7"/>
        </w:rPr>
        <w:t> </w:t>
      </w:r>
      <w:r>
        <w:rPr/>
        <w:t>constatar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porcentaje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presentaba</w:t>
      </w:r>
      <w:r>
        <w:rPr>
          <w:spacing w:val="-58"/>
        </w:rPr>
        <w:t> </w:t>
      </w:r>
      <w:r>
        <w:rPr/>
        <w:t>datos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muchas</w:t>
      </w:r>
      <w:r>
        <w:rPr>
          <w:spacing w:val="-3"/>
        </w:rPr>
        <w:t> </w:t>
      </w:r>
      <w:r>
        <w:rPr/>
        <w:t>de las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recolectadas, 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genera un</w:t>
      </w:r>
      <w:r>
        <w:rPr>
          <w:spacing w:val="-1"/>
        </w:rPr>
        <w:t> </w:t>
      </w:r>
      <w:r>
        <w:rPr/>
        <w:t>sesgo</w:t>
      </w:r>
      <w:r>
        <w:rPr>
          <w:spacing w:val="-1"/>
        </w:rPr>
        <w:t> </w:t>
      </w:r>
      <w:r>
        <w:rPr/>
        <w:t>de información.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1" w:right="0" w:hanging="361"/>
        <w:jc w:val="left"/>
      </w:pPr>
      <w:bookmarkStart w:name="_bookmark38" w:id="62"/>
      <w:bookmarkEnd w:id="62"/>
      <w:r>
        <w:rPr>
          <w:b w:val="0"/>
        </w:rPr>
      </w:r>
      <w:bookmarkStart w:name="_bookmark38" w:id="63"/>
      <w:bookmarkEnd w:id="63"/>
      <w:r>
        <w:rPr/>
        <w:t>C</w:t>
      </w:r>
      <w:r>
        <w:rPr/>
        <w:t>onclusiones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644" w:firstLine="720"/>
        <w:jc w:val="both"/>
      </w:pPr>
      <w:r>
        <w:rPr/>
        <w:t>Aunque se observó una ligera disminución de mortalidad y de sobrevida libre de</w:t>
      </w:r>
      <w:r>
        <w:rPr>
          <w:spacing w:val="1"/>
        </w:rPr>
        <w:t> </w:t>
      </w:r>
      <w:r>
        <w:rPr/>
        <w:t>enfermedad en el segundo cuatrienio en comparación con el segundo, estas diferencias no</w:t>
      </w:r>
      <w:r>
        <w:rPr>
          <w:spacing w:val="1"/>
        </w:rPr>
        <w:t> </w:t>
      </w:r>
      <w:r>
        <w:rPr/>
        <w:t>fueron</w:t>
      </w:r>
      <w:r>
        <w:rPr>
          <w:spacing w:val="-1"/>
        </w:rPr>
        <w:t> </w:t>
      </w:r>
      <w:r>
        <w:rPr/>
        <w:t>estadísticamente</w:t>
      </w:r>
      <w:r>
        <w:rPr>
          <w:spacing w:val="1"/>
        </w:rPr>
        <w:t> </w:t>
      </w:r>
      <w:r>
        <w:rPr/>
        <w:t>significativas.</w:t>
      </w:r>
    </w:p>
    <w:p>
      <w:pPr>
        <w:pStyle w:val="BodyText"/>
        <w:spacing w:line="480" w:lineRule="auto" w:before="1"/>
        <w:ind w:left="480" w:right="634" w:firstLine="720"/>
        <w:jc w:val="both"/>
      </w:pPr>
      <w:r>
        <w:rPr/>
        <w:t>En</w:t>
      </w:r>
      <w:r>
        <w:rPr>
          <w:spacing w:val="-6"/>
        </w:rPr>
        <w:t> </w:t>
      </w:r>
      <w:r>
        <w:rPr/>
        <w:t>general,</w:t>
      </w:r>
      <w:r>
        <w:rPr>
          <w:spacing w:val="-6"/>
        </w:rPr>
        <w:t> </w:t>
      </w:r>
      <w:r>
        <w:rPr/>
        <w:t>existen</w:t>
      </w:r>
      <w:r>
        <w:rPr>
          <w:spacing w:val="-6"/>
        </w:rPr>
        <w:t> </w:t>
      </w:r>
      <w:r>
        <w:rPr/>
        <w:t>similitudes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cuanto</w:t>
      </w:r>
      <w:r>
        <w:rPr>
          <w:spacing w:val="-9"/>
        </w:rPr>
        <w:t> </w:t>
      </w:r>
      <w:r>
        <w:rPr/>
        <w:t>características</w:t>
      </w:r>
      <w:r>
        <w:rPr>
          <w:spacing w:val="-7"/>
        </w:rPr>
        <w:t> </w:t>
      </w:r>
      <w:r>
        <w:rPr/>
        <w:t>clínicas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inmunofenotípicas</w:t>
      </w:r>
      <w:r>
        <w:rPr>
          <w:spacing w:val="-58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estudiada,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comparación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literatura</w:t>
      </w:r>
      <w:r>
        <w:rPr>
          <w:spacing w:val="-4"/>
        </w:rPr>
        <w:t> </w:t>
      </w:r>
      <w:r>
        <w:rPr/>
        <w:t>internacional.</w:t>
      </w:r>
      <w:r>
        <w:rPr>
          <w:spacing w:val="-6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edad</w:t>
      </w:r>
      <w:r>
        <w:rPr>
          <w:spacing w:val="-57"/>
        </w:rPr>
        <w:t> </w:t>
      </w:r>
      <w:r>
        <w:rPr/>
        <w:t>al diagnóstico, el inmunofenotipo más frecuente, la presencia del cromosoma filadelfia</w:t>
      </w:r>
      <w:r>
        <w:rPr>
          <w:spacing w:val="1"/>
        </w:rPr>
        <w:t> </w:t>
      </w:r>
      <w:r>
        <w:rPr/>
        <w:t>presente al diagnóstico son similares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 reportado por</w:t>
      </w:r>
      <w:r>
        <w:rPr>
          <w:spacing w:val="-1"/>
        </w:rPr>
        <w:t> </w:t>
      </w:r>
      <w:r>
        <w:rPr/>
        <w:t>otros</w:t>
      </w:r>
      <w:r>
        <w:rPr>
          <w:spacing w:val="-2"/>
        </w:rPr>
        <w:t> </w:t>
      </w:r>
      <w:r>
        <w:rPr/>
        <w:t>autores.</w:t>
      </w:r>
    </w:p>
    <w:p>
      <w:pPr>
        <w:pStyle w:val="BodyText"/>
        <w:spacing w:line="480" w:lineRule="auto"/>
        <w:ind w:left="480" w:right="635" w:firstLine="720"/>
        <w:jc w:val="both"/>
      </w:pPr>
      <w:r>
        <w:rPr/>
        <w:t>Dentro de los factores clínicos, sociodemográficos e inmunofenotípicos analizados,</w:t>
      </w:r>
      <w:r>
        <w:rPr>
          <w:spacing w:val="1"/>
        </w:rPr>
        <w:t> </w:t>
      </w:r>
      <w:r>
        <w:rPr/>
        <w:t>se encontró que existe un mayor riesgo de mortalidad a 12 meses en los pacientes que</w:t>
      </w:r>
      <w:r>
        <w:rPr>
          <w:spacing w:val="1"/>
        </w:rPr>
        <w:t> </w:t>
      </w:r>
      <w:r>
        <w:rPr/>
        <w:t>presentan edad mayor o igual a 35 años y diabetes mellitus. Al realizar el análisis bivariado,</w:t>
      </w:r>
      <w:r>
        <w:rPr>
          <w:spacing w:val="-57"/>
        </w:rPr>
        <w:t> </w:t>
      </w:r>
      <w:r>
        <w:rPr/>
        <w:t>se encontró que</w:t>
      </w:r>
      <w:r>
        <w:rPr>
          <w:spacing w:val="-4"/>
        </w:rPr>
        <w:t> </w:t>
      </w:r>
      <w:r>
        <w:rPr/>
        <w:t>esta</w:t>
      </w:r>
      <w:r>
        <w:rPr>
          <w:spacing w:val="-3"/>
        </w:rPr>
        <w:t> </w:t>
      </w:r>
      <w:r>
        <w:rPr/>
        <w:t>asociación fue</w:t>
      </w:r>
      <w:r>
        <w:rPr>
          <w:spacing w:val="-4"/>
        </w:rPr>
        <w:t> </w:t>
      </w:r>
      <w:r>
        <w:rPr/>
        <w:t>estadísticamente</w:t>
      </w:r>
      <w:r>
        <w:rPr>
          <w:spacing w:val="1"/>
        </w:rPr>
        <w:t> </w:t>
      </w:r>
      <w:r>
        <w:rPr/>
        <w:t>significativa.</w:t>
      </w:r>
    </w:p>
    <w:p>
      <w:pPr>
        <w:pStyle w:val="BodyText"/>
        <w:spacing w:line="480" w:lineRule="auto" w:before="1"/>
        <w:ind w:left="480" w:right="648" w:firstLine="720"/>
        <w:jc w:val="both"/>
      </w:pPr>
      <w:r>
        <w:rPr/>
        <w:t>De las opciones terapéuticas analizadas, se encontró que la realización de trasplante</w:t>
      </w:r>
      <w:r>
        <w:rPr>
          <w:spacing w:val="1"/>
        </w:rPr>
        <w:t> </w:t>
      </w:r>
      <w:r>
        <w:rPr/>
        <w:t>de progenitores hematopoyéticos fue un factor protector para muerte a 12 meses. Esta</w:t>
      </w:r>
      <w:r>
        <w:rPr>
          <w:spacing w:val="1"/>
        </w:rPr>
        <w:t> </w:t>
      </w:r>
      <w:r>
        <w:rPr/>
        <w:t>asociación</w:t>
      </w:r>
      <w:r>
        <w:rPr>
          <w:spacing w:val="-3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encontró</w:t>
      </w:r>
      <w:r>
        <w:rPr>
          <w:spacing w:val="-3"/>
        </w:rPr>
        <w:t> </w:t>
      </w:r>
      <w:r>
        <w:rPr/>
        <w:t>estadísticamente</w:t>
      </w:r>
      <w:r>
        <w:rPr>
          <w:spacing w:val="-2"/>
        </w:rPr>
        <w:t> </w:t>
      </w:r>
      <w:r>
        <w:rPr/>
        <w:t>significativa</w:t>
      </w:r>
      <w:r>
        <w:rPr>
          <w:spacing w:val="-1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bivariados.</w:t>
      </w:r>
    </w:p>
    <w:p>
      <w:pPr>
        <w:pStyle w:val="BodyText"/>
        <w:spacing w:line="480" w:lineRule="auto" w:before="1"/>
        <w:ind w:left="480" w:right="634" w:firstLine="720"/>
        <w:jc w:val="both"/>
      </w:pPr>
      <w:r>
        <w:rPr/>
        <w:t>La mortalidad y sobrevida libre de evento al año fue similar a lo reportado en otros</w:t>
      </w:r>
      <w:r>
        <w:rPr>
          <w:spacing w:val="1"/>
        </w:rPr>
        <w:t> </w:t>
      </w:r>
      <w:r>
        <w:rPr/>
        <w:t>estudios. Sin embargo, teniendo en cuenta las altas tasas de mortalidad a largo plazo en los</w:t>
      </w:r>
      <w:r>
        <w:rPr>
          <w:spacing w:val="1"/>
        </w:rPr>
        <w:t> </w:t>
      </w:r>
      <w:r>
        <w:rPr/>
        <w:t>adultos con diagnóstico de esta patología, es necesario continuar con el seguimiento a largo</w:t>
      </w:r>
      <w:r>
        <w:rPr>
          <w:spacing w:val="1"/>
        </w:rPr>
        <w:t> </w:t>
      </w:r>
      <w:r>
        <w:rPr/>
        <w:t>plazo.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line="480" w:lineRule="auto" w:before="100"/>
        <w:ind w:left="480" w:right="641" w:firstLine="720"/>
        <w:jc w:val="both"/>
      </w:pPr>
      <w:r>
        <w:rPr/>
        <w:t>La principal limitación de este estudio es la pérdida de datos que fue mayor al 10%.</w:t>
      </w:r>
      <w:r>
        <w:rPr>
          <w:spacing w:val="1"/>
        </w:rPr>
        <w:t> </w:t>
      </w:r>
      <w:r>
        <w:rPr/>
        <w:t>Esto afecta el poder del estudio y las diferencias encontradas podrían deberse a errores tipo</w:t>
      </w:r>
      <w:r>
        <w:rPr>
          <w:spacing w:val="1"/>
        </w:rPr>
        <w:t> </w:t>
      </w:r>
      <w:r>
        <w:rPr/>
        <w:t>2.</w:t>
      </w:r>
    </w:p>
    <w:p>
      <w:pPr>
        <w:spacing w:after="0" w:line="480" w:lineRule="auto"/>
        <w:jc w:val="both"/>
        <w:sectPr>
          <w:pgSz w:w="12240" w:h="15840"/>
          <w:pgMar w:header="756" w:footer="0" w:top="1300" w:bottom="280" w:left="1220" w:right="1060"/>
        </w:sectPr>
      </w:pPr>
    </w:p>
    <w:p>
      <w:pPr>
        <w:pStyle w:val="Heading1"/>
        <w:spacing w:before="100"/>
        <w:ind w:left="480"/>
      </w:pPr>
      <w:bookmarkStart w:name="_bookmark39" w:id="64"/>
      <w:bookmarkEnd w:id="64"/>
      <w:r>
        <w:rPr>
          <w:b w:val="0"/>
        </w:rPr>
      </w:r>
      <w:r>
        <w:rPr/>
        <w:t>ANEXOS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1346200</wp:posOffset>
            </wp:positionH>
            <wp:positionV relativeFrom="paragraph">
              <wp:posOffset>216835</wp:posOffset>
            </wp:positionV>
            <wp:extent cx="5405676" cy="7016019"/>
            <wp:effectExtent l="0" t="0" r="0" b="0"/>
            <wp:wrapTopAndBottom/>
            <wp:docPr id="1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676" cy="70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w:drawing>
          <wp:inline distT="0" distB="0" distL="0" distR="0">
            <wp:extent cx="5474848" cy="7048785"/>
            <wp:effectExtent l="0" t="0" r="0" b="0"/>
            <wp:docPr id="1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848" cy="70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5442089" cy="7048785"/>
            <wp:effectExtent l="0" t="0" r="0" b="0"/>
            <wp:docPr id="2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089" cy="70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Heading1"/>
        <w:spacing w:before="100"/>
        <w:ind w:left="480"/>
      </w:pPr>
      <w:bookmarkStart w:name="_bookmark40" w:id="65"/>
      <w:bookmarkEnd w:id="65"/>
      <w:r>
        <w:rPr>
          <w:b w:val="0"/>
        </w:rPr>
      </w:r>
      <w:r>
        <w:rPr/>
        <w:t>Referencias</w:t>
      </w:r>
      <w:r>
        <w:rPr>
          <w:spacing w:val="-8"/>
        </w:rPr>
        <w:t> </w:t>
      </w:r>
      <w:r>
        <w:rPr/>
        <w:t>bibliográficas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0" w:after="0"/>
        <w:ind w:left="1120" w:right="708" w:hanging="640"/>
        <w:jc w:val="left"/>
        <w:rPr>
          <w:sz w:val="24"/>
        </w:rPr>
      </w:pPr>
      <w:r>
        <w:rPr>
          <w:sz w:val="24"/>
        </w:rPr>
        <w:t>Kaushansky K, Lichtman M.A, Prchal J.F</w:t>
      </w:r>
      <w:r>
        <w:rPr>
          <w:spacing w:val="1"/>
          <w:sz w:val="24"/>
        </w:rPr>
        <w:t> </w:t>
      </w:r>
      <w:r>
        <w:rPr>
          <w:sz w:val="24"/>
        </w:rPr>
        <w:t>et al. Williams Hematology. 2016. 1505–</w:t>
      </w:r>
      <w:r>
        <w:rPr>
          <w:spacing w:val="-57"/>
          <w:sz w:val="24"/>
        </w:rPr>
        <w:t> </w:t>
      </w:r>
      <w:r>
        <w:rPr>
          <w:sz w:val="24"/>
        </w:rPr>
        <w:t>21 p.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240" w:lineRule="auto" w:before="161" w:after="0"/>
        <w:ind w:left="1120" w:right="0" w:hanging="641"/>
        <w:jc w:val="left"/>
        <w:rPr>
          <w:sz w:val="24"/>
        </w:rPr>
      </w:pPr>
      <w:r>
        <w:rPr>
          <w:sz w:val="24"/>
        </w:rPr>
        <w:t>Pui</w:t>
      </w:r>
      <w:r>
        <w:rPr>
          <w:spacing w:val="-2"/>
          <w:sz w:val="24"/>
        </w:rPr>
        <w:t> </w:t>
      </w:r>
      <w:r>
        <w:rPr>
          <w:sz w:val="24"/>
        </w:rPr>
        <w:t>CH,</w:t>
      </w:r>
      <w:r>
        <w:rPr>
          <w:spacing w:val="-2"/>
          <w:sz w:val="24"/>
        </w:rPr>
        <w:t> </w:t>
      </w:r>
      <w:r>
        <w:rPr>
          <w:sz w:val="24"/>
        </w:rPr>
        <w:t>Relling</w:t>
      </w:r>
      <w:r>
        <w:rPr>
          <w:spacing w:val="-2"/>
          <w:sz w:val="24"/>
        </w:rPr>
        <w:t> </w:t>
      </w:r>
      <w:r>
        <w:rPr>
          <w:sz w:val="24"/>
        </w:rPr>
        <w:t>MV</w:t>
      </w:r>
      <w:r>
        <w:rPr>
          <w:spacing w:val="-3"/>
          <w:sz w:val="24"/>
        </w:rPr>
        <w:t> </w:t>
      </w:r>
      <w:r>
        <w:rPr>
          <w:sz w:val="24"/>
        </w:rPr>
        <w:t>DJ.</w:t>
      </w:r>
      <w:r>
        <w:rPr>
          <w:spacing w:val="-2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Lymphoblastic</w:t>
      </w:r>
      <w:r>
        <w:rPr>
          <w:spacing w:val="-1"/>
          <w:sz w:val="24"/>
        </w:rPr>
        <w:t> </w:t>
      </w:r>
      <w:r>
        <w:rPr>
          <w:sz w:val="24"/>
        </w:rPr>
        <w:t>Leukemia.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4"/>
          <w:sz w:val="24"/>
        </w:rPr>
        <w:t> </w:t>
      </w:r>
      <w:r>
        <w:rPr>
          <w:sz w:val="24"/>
        </w:rPr>
        <w:t>Engl</w:t>
      </w:r>
      <w:r>
        <w:rPr>
          <w:spacing w:val="-2"/>
          <w:sz w:val="24"/>
        </w:rPr>
        <w:t> </w:t>
      </w:r>
      <w:r>
        <w:rPr>
          <w:sz w:val="24"/>
        </w:rPr>
        <w:t>J</w:t>
      </w:r>
      <w:r>
        <w:rPr>
          <w:spacing w:val="-4"/>
          <w:sz w:val="24"/>
        </w:rPr>
        <w:t> </w:t>
      </w:r>
      <w:r>
        <w:rPr>
          <w:sz w:val="24"/>
        </w:rPr>
        <w:t>Med.</w:t>
      </w:r>
    </w:p>
    <w:p>
      <w:pPr>
        <w:pStyle w:val="BodyText"/>
      </w:pPr>
    </w:p>
    <w:p>
      <w:pPr>
        <w:pStyle w:val="BodyText"/>
        <w:ind w:left="1120"/>
      </w:pPr>
      <w:r>
        <w:rPr/>
        <w:t>2004;350(15):1535–48.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0" w:after="0"/>
        <w:ind w:left="1120" w:right="1385" w:hanging="640"/>
        <w:jc w:val="left"/>
        <w:rPr>
          <w:sz w:val="24"/>
        </w:rPr>
      </w:pPr>
      <w:r>
        <w:rPr>
          <w:sz w:val="24"/>
        </w:rPr>
        <w:t>Rambaldi A, Thomas X, Horst H, Brüggemann M. Blinatumomab versus</w:t>
      </w:r>
      <w:r>
        <w:rPr>
          <w:spacing w:val="1"/>
          <w:sz w:val="24"/>
        </w:rPr>
        <w:t> </w:t>
      </w:r>
      <w:r>
        <w:rPr>
          <w:sz w:val="24"/>
        </w:rPr>
        <w:t>Chemotherapy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Advanced</w:t>
      </w:r>
      <w:r>
        <w:rPr>
          <w:spacing w:val="-1"/>
          <w:sz w:val="24"/>
        </w:rPr>
        <w:t> </w:t>
      </w:r>
      <w:r>
        <w:rPr>
          <w:sz w:val="24"/>
        </w:rPr>
        <w:t>Acute</w:t>
      </w:r>
      <w:r>
        <w:rPr>
          <w:spacing w:val="-4"/>
          <w:sz w:val="24"/>
        </w:rPr>
        <w:t> </w:t>
      </w:r>
      <w:r>
        <w:rPr>
          <w:sz w:val="24"/>
        </w:rPr>
        <w:t>Lymphoblastic</w:t>
      </w:r>
      <w:r>
        <w:rPr>
          <w:spacing w:val="-4"/>
          <w:sz w:val="24"/>
        </w:rPr>
        <w:t> </w:t>
      </w:r>
      <w:r>
        <w:rPr>
          <w:sz w:val="24"/>
        </w:rPr>
        <w:t>Leukemia.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7"/>
          <w:sz w:val="24"/>
        </w:rPr>
        <w:t> </w:t>
      </w:r>
      <w:r>
        <w:rPr>
          <w:sz w:val="24"/>
        </w:rPr>
        <w:t>Engl</w:t>
      </w:r>
      <w:r>
        <w:rPr>
          <w:spacing w:val="-1"/>
          <w:sz w:val="24"/>
        </w:rPr>
        <w:t> </w:t>
      </w:r>
      <w:r>
        <w:rPr>
          <w:sz w:val="24"/>
        </w:rPr>
        <w:t>J</w:t>
      </w:r>
      <w:r>
        <w:rPr>
          <w:spacing w:val="-3"/>
          <w:sz w:val="24"/>
        </w:rPr>
        <w:t> </w:t>
      </w:r>
      <w:r>
        <w:rPr>
          <w:sz w:val="24"/>
        </w:rPr>
        <w:t>Med.</w:t>
      </w:r>
      <w:r>
        <w:rPr>
          <w:spacing w:val="-57"/>
          <w:sz w:val="24"/>
        </w:rPr>
        <w:t> </w:t>
      </w:r>
      <w:r>
        <w:rPr>
          <w:sz w:val="24"/>
        </w:rPr>
        <w:t>2017;376(9):836–47.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1151" w:hanging="640"/>
        <w:jc w:val="left"/>
        <w:rPr>
          <w:sz w:val="24"/>
        </w:rPr>
      </w:pPr>
      <w:r>
        <w:rPr>
          <w:sz w:val="24"/>
        </w:rPr>
        <w:t>Bain</w:t>
      </w:r>
      <w:r>
        <w:rPr>
          <w:spacing w:val="-3"/>
          <w:sz w:val="24"/>
        </w:rPr>
        <w:t> </w:t>
      </w:r>
      <w:r>
        <w:rPr>
          <w:sz w:val="24"/>
        </w:rPr>
        <w:t>BJ.</w:t>
      </w:r>
      <w:r>
        <w:rPr>
          <w:spacing w:val="-3"/>
          <w:sz w:val="24"/>
        </w:rPr>
        <w:t> </w:t>
      </w:r>
      <w:r>
        <w:rPr>
          <w:sz w:val="24"/>
        </w:rPr>
        <w:t>Acute</w:t>
      </w:r>
      <w:r>
        <w:rPr>
          <w:spacing w:val="-2"/>
          <w:sz w:val="24"/>
        </w:rPr>
        <w:t> </w:t>
      </w:r>
      <w:r>
        <w:rPr>
          <w:sz w:val="24"/>
        </w:rPr>
        <w:t>Lymphoblastic</w:t>
      </w:r>
      <w:r>
        <w:rPr>
          <w:spacing w:val="-2"/>
          <w:sz w:val="24"/>
        </w:rPr>
        <w:t> </w:t>
      </w:r>
      <w:r>
        <w:rPr>
          <w:sz w:val="24"/>
        </w:rPr>
        <w:t>Leukaemia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Acute</w:t>
      </w:r>
      <w:r>
        <w:rPr>
          <w:spacing w:val="-2"/>
          <w:sz w:val="24"/>
        </w:rPr>
        <w:t> </w:t>
      </w:r>
      <w:r>
        <w:rPr>
          <w:sz w:val="24"/>
        </w:rPr>
        <w:t>Leukaemia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Ambiguous</w:t>
      </w:r>
      <w:r>
        <w:rPr>
          <w:spacing w:val="-57"/>
          <w:sz w:val="24"/>
        </w:rPr>
        <w:t> </w:t>
      </w:r>
      <w:r>
        <w:rPr>
          <w:sz w:val="24"/>
        </w:rPr>
        <w:t>Lineage.</w:t>
      </w:r>
      <w:r>
        <w:rPr>
          <w:spacing w:val="-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Leukaemia</w:t>
      </w:r>
      <w:r>
        <w:rPr>
          <w:spacing w:val="1"/>
          <w:sz w:val="24"/>
        </w:rPr>
        <w:t> </w:t>
      </w:r>
      <w:r>
        <w:rPr>
          <w:sz w:val="24"/>
        </w:rPr>
        <w:t>Diagnosis. 2017.</w:t>
      </w:r>
      <w:r>
        <w:rPr>
          <w:spacing w:val="-5"/>
          <w:sz w:val="24"/>
        </w:rPr>
        <w:t> </w:t>
      </w:r>
      <w:r>
        <w:rPr>
          <w:sz w:val="24"/>
        </w:rPr>
        <w:t>p. 249–78.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240" w:lineRule="auto" w:before="160" w:after="0"/>
        <w:ind w:left="1120" w:right="0" w:hanging="641"/>
        <w:jc w:val="left"/>
        <w:rPr>
          <w:sz w:val="24"/>
        </w:rPr>
      </w:pPr>
      <w:r>
        <w:rPr>
          <w:sz w:val="24"/>
        </w:rPr>
        <w:t>NCCN</w:t>
      </w:r>
      <w:r>
        <w:rPr>
          <w:spacing w:val="-6"/>
          <w:sz w:val="24"/>
        </w:rPr>
        <w:t> </w:t>
      </w: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Blocks.</w:t>
      </w:r>
      <w:r>
        <w:rPr>
          <w:spacing w:val="-3"/>
          <w:sz w:val="24"/>
        </w:rPr>
        <w:t> </w:t>
      </w:r>
      <w:r>
        <w:rPr>
          <w:sz w:val="24"/>
        </w:rPr>
        <w:t>Acute</w:t>
      </w:r>
      <w:r>
        <w:rPr>
          <w:spacing w:val="-6"/>
          <w:sz w:val="24"/>
        </w:rPr>
        <w:t> </w:t>
      </w:r>
      <w:r>
        <w:rPr>
          <w:sz w:val="24"/>
        </w:rPr>
        <w:t>Lymphoblastic</w:t>
      </w:r>
      <w:r>
        <w:rPr>
          <w:spacing w:val="-6"/>
          <w:sz w:val="24"/>
        </w:rPr>
        <w:t> </w:t>
      </w:r>
      <w:r>
        <w:rPr>
          <w:sz w:val="24"/>
        </w:rPr>
        <w:t>Leukemia.</w:t>
      </w:r>
      <w:r>
        <w:rPr>
          <w:spacing w:val="-3"/>
          <w:sz w:val="24"/>
        </w:rPr>
        <w:t> </w:t>
      </w:r>
      <w:r>
        <w:rPr>
          <w:sz w:val="24"/>
        </w:rPr>
        <w:t>Natl</w:t>
      </w:r>
      <w:r>
        <w:rPr>
          <w:spacing w:val="-4"/>
          <w:sz w:val="24"/>
        </w:rPr>
        <w:t> </w:t>
      </w:r>
      <w:r>
        <w:rPr>
          <w:sz w:val="24"/>
        </w:rPr>
        <w:t>Compr</w:t>
      </w:r>
      <w:r>
        <w:rPr>
          <w:spacing w:val="-3"/>
          <w:sz w:val="24"/>
        </w:rPr>
        <w:t> </w:t>
      </w:r>
      <w:r>
        <w:rPr>
          <w:sz w:val="24"/>
        </w:rPr>
        <w:t>Cancer</w:t>
      </w:r>
      <w:r>
        <w:rPr>
          <w:spacing w:val="-3"/>
          <w:sz w:val="24"/>
        </w:rPr>
        <w:t> </w:t>
      </w:r>
      <w:r>
        <w:rPr>
          <w:sz w:val="24"/>
        </w:rPr>
        <w:t>Netw.</w:t>
      </w:r>
    </w:p>
    <w:p>
      <w:pPr>
        <w:pStyle w:val="BodyText"/>
      </w:pPr>
    </w:p>
    <w:p>
      <w:pPr>
        <w:pStyle w:val="BodyText"/>
        <w:ind w:left="1120"/>
      </w:pPr>
      <w:r>
        <w:rPr/>
        <w:t>2020;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0" w:right="0" w:hanging="641"/>
        <w:jc w:val="left"/>
        <w:rPr>
          <w:sz w:val="24"/>
        </w:rPr>
      </w:pPr>
      <w:r>
        <w:rPr>
          <w:sz w:val="24"/>
        </w:rPr>
        <w:t>Sociedad</w:t>
      </w:r>
      <w:r>
        <w:rPr>
          <w:spacing w:val="-2"/>
          <w:sz w:val="24"/>
        </w:rPr>
        <w:t> </w:t>
      </w:r>
      <w:r>
        <w:rPr>
          <w:sz w:val="24"/>
        </w:rPr>
        <w:t>Argentina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Hematología.</w:t>
      </w:r>
      <w:r>
        <w:rPr>
          <w:spacing w:val="-2"/>
          <w:sz w:val="24"/>
        </w:rPr>
        <w:t> </w:t>
      </w:r>
      <w:r>
        <w:rPr>
          <w:sz w:val="24"/>
        </w:rPr>
        <w:t>Leucemias</w:t>
      </w:r>
      <w:r>
        <w:rPr>
          <w:spacing w:val="-4"/>
          <w:sz w:val="24"/>
        </w:rPr>
        <w:t> </w:t>
      </w:r>
      <w:r>
        <w:rPr>
          <w:sz w:val="24"/>
        </w:rPr>
        <w:t>Agudas.</w:t>
      </w:r>
      <w:r>
        <w:rPr>
          <w:spacing w:val="-2"/>
          <w:sz w:val="24"/>
        </w:rPr>
        <w:t> </w:t>
      </w:r>
      <w:r>
        <w:rPr>
          <w:sz w:val="24"/>
        </w:rPr>
        <w:t>Guías</w:t>
      </w:r>
      <w:r>
        <w:rPr>
          <w:spacing w:val="-4"/>
          <w:sz w:val="24"/>
        </w:rPr>
        <w:t> </w:t>
      </w:r>
      <w:r>
        <w:rPr>
          <w:sz w:val="24"/>
        </w:rPr>
        <w:t>diaGnóstico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Trat.</w:t>
      </w:r>
    </w:p>
    <w:p>
      <w:pPr>
        <w:pStyle w:val="BodyText"/>
      </w:pPr>
    </w:p>
    <w:p>
      <w:pPr>
        <w:pStyle w:val="BodyText"/>
        <w:ind w:left="1120"/>
      </w:pPr>
      <w:r>
        <w:rPr/>
        <w:t>2017;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" w:after="0"/>
        <w:ind w:left="1120" w:right="680" w:hanging="640"/>
        <w:jc w:val="left"/>
        <w:rPr>
          <w:sz w:val="24"/>
        </w:rPr>
      </w:pPr>
      <w:r>
        <w:rPr>
          <w:sz w:val="24"/>
        </w:rPr>
        <w:t>Combariza JF, Casas CP, Rodríguez M, Al. E. Supervivencia en adultos con</w:t>
      </w:r>
      <w:r>
        <w:rPr>
          <w:spacing w:val="1"/>
          <w:sz w:val="24"/>
        </w:rPr>
        <w:t> </w:t>
      </w:r>
      <w:r>
        <w:rPr>
          <w:sz w:val="24"/>
        </w:rPr>
        <w:t>leucemia</w:t>
      </w:r>
      <w:r>
        <w:rPr>
          <w:spacing w:val="-2"/>
          <w:sz w:val="24"/>
        </w:rPr>
        <w:t> </w:t>
      </w:r>
      <w:r>
        <w:rPr>
          <w:sz w:val="24"/>
        </w:rPr>
        <w:t>linfoide</w:t>
      </w:r>
      <w:r>
        <w:rPr>
          <w:spacing w:val="2"/>
          <w:sz w:val="24"/>
        </w:rPr>
        <w:t> </w:t>
      </w:r>
      <w:r>
        <w:rPr>
          <w:sz w:val="24"/>
        </w:rPr>
        <w:t>aguda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novo</w:t>
      </w:r>
      <w:r>
        <w:rPr>
          <w:spacing w:val="2"/>
          <w:sz w:val="24"/>
        </w:rPr>
        <w:t> </w:t>
      </w:r>
      <w:r>
        <w:rPr>
          <w:sz w:val="24"/>
        </w:rPr>
        <w:t>tratados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esquema</w:t>
      </w:r>
      <w:r>
        <w:rPr>
          <w:spacing w:val="3"/>
          <w:sz w:val="24"/>
        </w:rPr>
        <w:t> </w:t>
      </w:r>
      <w:r>
        <w:rPr>
          <w:sz w:val="24"/>
        </w:rPr>
        <w:t>HyperCVAD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Instituto Nacional de Cancerología (Colombia), entre enero de 2001 y junio de 2002.</w:t>
      </w:r>
      <w:r>
        <w:rPr>
          <w:spacing w:val="-58"/>
          <w:sz w:val="24"/>
        </w:rPr>
        <w:t> </w:t>
      </w:r>
      <w:r>
        <w:rPr>
          <w:sz w:val="24"/>
        </w:rPr>
        <w:t>Rev</w:t>
      </w:r>
      <w:r>
        <w:rPr>
          <w:spacing w:val="-1"/>
          <w:sz w:val="24"/>
        </w:rPr>
        <w:t> </w:t>
      </w:r>
      <w:r>
        <w:rPr>
          <w:sz w:val="24"/>
        </w:rPr>
        <w:t>Colomb CanCeRol. 2007;11(2):92–100.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240" w:lineRule="auto" w:before="160" w:after="0"/>
        <w:ind w:left="1120" w:right="0" w:hanging="641"/>
        <w:jc w:val="left"/>
        <w:rPr>
          <w:sz w:val="24"/>
        </w:rPr>
      </w:pPr>
      <w:r>
        <w:rPr>
          <w:sz w:val="24"/>
        </w:rPr>
        <w:t>Ching-Hon</w:t>
      </w:r>
      <w:r>
        <w:rPr>
          <w:spacing w:val="-2"/>
          <w:sz w:val="24"/>
        </w:rPr>
        <w:t> </w:t>
      </w:r>
      <w:r>
        <w:rPr>
          <w:sz w:val="24"/>
        </w:rPr>
        <w:t>Pui</w:t>
      </w:r>
      <w:r>
        <w:rPr>
          <w:spacing w:val="-2"/>
          <w:sz w:val="24"/>
        </w:rPr>
        <w:t> </w:t>
      </w:r>
      <w:r>
        <w:rPr>
          <w:sz w:val="24"/>
        </w:rPr>
        <w:t>WEE.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Acute</w:t>
      </w:r>
      <w:r>
        <w:rPr>
          <w:spacing w:val="-5"/>
          <w:sz w:val="24"/>
        </w:rPr>
        <w:t> </w:t>
      </w:r>
      <w:r>
        <w:rPr>
          <w:sz w:val="24"/>
        </w:rPr>
        <w:t>Lymphoblastic</w:t>
      </w:r>
      <w:r>
        <w:rPr>
          <w:spacing w:val="-1"/>
          <w:sz w:val="24"/>
        </w:rPr>
        <w:t> </w:t>
      </w:r>
      <w:r>
        <w:rPr>
          <w:sz w:val="24"/>
        </w:rPr>
        <w:t>Leukemia.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4"/>
          <w:sz w:val="24"/>
        </w:rPr>
        <w:t> </w:t>
      </w:r>
      <w:r>
        <w:rPr>
          <w:sz w:val="24"/>
        </w:rPr>
        <w:t>Engl</w:t>
      </w:r>
      <w:r>
        <w:rPr>
          <w:spacing w:val="-2"/>
          <w:sz w:val="24"/>
        </w:rPr>
        <w:t> </w:t>
      </w:r>
      <w:r>
        <w:rPr>
          <w:sz w:val="24"/>
        </w:rPr>
        <w:t>J</w:t>
      </w:r>
      <w:r>
        <w:rPr>
          <w:spacing w:val="-3"/>
          <w:sz w:val="24"/>
        </w:rPr>
        <w:t> </w:t>
      </w:r>
      <w:r>
        <w:rPr>
          <w:sz w:val="24"/>
        </w:rPr>
        <w:t>Med.</w:t>
      </w:r>
    </w:p>
    <w:p>
      <w:pPr>
        <w:pStyle w:val="BodyText"/>
        <w:spacing w:before="1"/>
      </w:pPr>
    </w:p>
    <w:p>
      <w:pPr>
        <w:pStyle w:val="BodyText"/>
        <w:ind w:left="1120"/>
      </w:pPr>
      <w:r>
        <w:rPr/>
        <w:t>2006;354(2):166–78.</w:t>
      </w:r>
    </w:p>
    <w:p>
      <w:pPr>
        <w:spacing w:after="0"/>
        <w:sectPr>
          <w:pgSz w:w="12240" w:h="15840"/>
          <w:pgMar w:header="756" w:footer="0" w:top="1300" w:bottom="280" w:left="1220" w:right="1060"/>
        </w:sect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00" w:after="0"/>
        <w:ind w:left="1120" w:right="744" w:hanging="640"/>
        <w:jc w:val="left"/>
        <w:rPr>
          <w:sz w:val="24"/>
        </w:rPr>
      </w:pPr>
      <w:r>
        <w:rPr>
          <w:sz w:val="24"/>
        </w:rPr>
        <w:t>Instituto Nacional de Cancerología. Guía de práctica clínica para la detección,</w:t>
      </w:r>
      <w:r>
        <w:rPr>
          <w:spacing w:val="1"/>
          <w:sz w:val="24"/>
        </w:rPr>
        <w:t> </w:t>
      </w:r>
      <w:r>
        <w:rPr>
          <w:sz w:val="24"/>
        </w:rPr>
        <w:t>tratamiento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seguimiento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leucemias</w:t>
      </w:r>
      <w:r>
        <w:rPr>
          <w:spacing w:val="-6"/>
          <w:sz w:val="24"/>
        </w:rPr>
        <w:t> </w:t>
      </w:r>
      <w:r>
        <w:rPr>
          <w:sz w:val="24"/>
        </w:rPr>
        <w:t>linfoblástica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mieloide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población</w:t>
      </w:r>
      <w:r>
        <w:rPr>
          <w:spacing w:val="-4"/>
          <w:sz w:val="24"/>
        </w:rPr>
        <w:t> </w:t>
      </w:r>
      <w:r>
        <w:rPr>
          <w:sz w:val="24"/>
        </w:rPr>
        <w:t>mayor</w:t>
      </w:r>
      <w:r>
        <w:rPr>
          <w:spacing w:val="-57"/>
          <w:sz w:val="24"/>
        </w:rPr>
        <w:t> </w:t>
      </w:r>
      <w:r>
        <w:rPr>
          <w:sz w:val="24"/>
        </w:rPr>
        <w:t>a 18 años. Guia</w:t>
      </w:r>
      <w:r>
        <w:rPr>
          <w:spacing w:val="1"/>
          <w:sz w:val="24"/>
        </w:rPr>
        <w:t> </w:t>
      </w:r>
      <w:r>
        <w:rPr>
          <w:sz w:val="24"/>
        </w:rPr>
        <w:t>No 34. 2017;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199" w:hanging="640"/>
        <w:jc w:val="left"/>
        <w:rPr>
          <w:sz w:val="24"/>
        </w:rPr>
      </w:pPr>
      <w:r>
        <w:rPr>
          <w:sz w:val="24"/>
        </w:rPr>
        <w:t>Jennifer L. McNeer AB. Acute lymphoblastic leukemia and lymphoblastic</w:t>
      </w:r>
      <w:r>
        <w:rPr>
          <w:spacing w:val="1"/>
          <w:sz w:val="24"/>
        </w:rPr>
        <w:t> </w:t>
      </w:r>
      <w:r>
        <w:rPr>
          <w:sz w:val="24"/>
        </w:rPr>
        <w:t>lymphoma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adolescents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young</w:t>
      </w:r>
      <w:r>
        <w:rPr>
          <w:spacing w:val="-6"/>
          <w:sz w:val="24"/>
        </w:rPr>
        <w:t> </w:t>
      </w:r>
      <w:r>
        <w:rPr>
          <w:sz w:val="24"/>
        </w:rPr>
        <w:t>adults.</w:t>
      </w:r>
      <w:r>
        <w:rPr>
          <w:spacing w:val="-1"/>
          <w:sz w:val="24"/>
        </w:rPr>
        <w:t> </w:t>
      </w:r>
      <w:r>
        <w:rPr>
          <w:sz w:val="24"/>
        </w:rPr>
        <w:t>PediatrBloodCancer.</w:t>
      </w:r>
      <w:r>
        <w:rPr>
          <w:spacing w:val="-1"/>
          <w:sz w:val="24"/>
        </w:rPr>
        <w:t> </w:t>
      </w:r>
      <w:r>
        <w:rPr>
          <w:sz w:val="24"/>
        </w:rPr>
        <w:t>2018;e26989.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1259" w:hanging="640"/>
        <w:jc w:val="left"/>
        <w:rPr>
          <w:sz w:val="24"/>
        </w:rPr>
      </w:pPr>
      <w:r>
        <w:rPr>
          <w:sz w:val="24"/>
        </w:rPr>
        <w:t>McNeer</w:t>
      </w:r>
      <w:r>
        <w:rPr>
          <w:spacing w:val="-3"/>
          <w:sz w:val="24"/>
        </w:rPr>
        <w:t> </w:t>
      </w:r>
      <w:r>
        <w:rPr>
          <w:sz w:val="24"/>
        </w:rPr>
        <w:t>J,</w:t>
      </w:r>
      <w:r>
        <w:rPr>
          <w:spacing w:val="-3"/>
          <w:sz w:val="24"/>
        </w:rPr>
        <w:t> </w:t>
      </w:r>
      <w:r>
        <w:rPr>
          <w:sz w:val="24"/>
        </w:rPr>
        <w:t>Bleyer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Burden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hospitalization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relapsed</w:t>
      </w:r>
      <w:r>
        <w:rPr>
          <w:spacing w:val="-7"/>
          <w:sz w:val="24"/>
        </w:rPr>
        <w:t> </w:t>
      </w:r>
      <w:r>
        <w:rPr>
          <w:sz w:val="24"/>
        </w:rPr>
        <w:t>acute</w:t>
      </w:r>
      <w:r>
        <w:rPr>
          <w:spacing w:val="-2"/>
          <w:sz w:val="24"/>
        </w:rPr>
        <w:t> </w:t>
      </w:r>
      <w:r>
        <w:rPr>
          <w:sz w:val="24"/>
        </w:rPr>
        <w:t>lymphoblastic</w:t>
      </w:r>
      <w:r>
        <w:rPr>
          <w:spacing w:val="-57"/>
          <w:sz w:val="24"/>
        </w:rPr>
        <w:t> </w:t>
      </w:r>
      <w:r>
        <w:rPr>
          <w:sz w:val="24"/>
        </w:rPr>
        <w:t>leukemia.</w:t>
      </w:r>
      <w:r>
        <w:rPr>
          <w:spacing w:val="-1"/>
          <w:sz w:val="24"/>
        </w:rPr>
        <w:t> </w:t>
      </w:r>
      <w:r>
        <w:rPr>
          <w:sz w:val="24"/>
        </w:rPr>
        <w:t>Curr Med Res</w:t>
      </w:r>
      <w:r>
        <w:rPr>
          <w:spacing w:val="-2"/>
          <w:sz w:val="24"/>
        </w:rPr>
        <w:t> </w:t>
      </w:r>
      <w:r>
        <w:rPr>
          <w:sz w:val="24"/>
        </w:rPr>
        <w:t>Opin. 2016;32(7):1209–12.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227" w:hanging="640"/>
        <w:jc w:val="left"/>
        <w:rPr>
          <w:sz w:val="24"/>
        </w:rPr>
      </w:pPr>
      <w:r>
        <w:rPr>
          <w:sz w:val="24"/>
        </w:rPr>
        <w:t>Eapen M. Best Practice &amp; Research Clinical Haematology. Best Pract Res Clin</w:t>
      </w:r>
      <w:r>
        <w:rPr>
          <w:spacing w:val="-57"/>
          <w:sz w:val="24"/>
        </w:rPr>
        <w:t> </w:t>
      </w:r>
      <w:r>
        <w:rPr>
          <w:sz w:val="24"/>
        </w:rPr>
        <w:t>Haematol.</w:t>
      </w:r>
      <w:r>
        <w:rPr>
          <w:spacing w:val="-1"/>
          <w:sz w:val="24"/>
        </w:rPr>
        <w:t> </w:t>
      </w:r>
      <w:r>
        <w:rPr>
          <w:sz w:val="24"/>
        </w:rPr>
        <w:t>2017;30:317–9.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969" w:hanging="640"/>
        <w:jc w:val="left"/>
        <w:rPr>
          <w:sz w:val="24"/>
        </w:rPr>
      </w:pPr>
      <w:r>
        <w:rPr>
          <w:sz w:val="24"/>
        </w:rPr>
        <w:t>Canet</w:t>
      </w:r>
      <w:r>
        <w:rPr>
          <w:spacing w:val="-2"/>
          <w:sz w:val="24"/>
        </w:rPr>
        <w:t> </w:t>
      </w:r>
      <w:r>
        <w:rPr>
          <w:sz w:val="24"/>
        </w:rPr>
        <w:t>E,</w:t>
      </w:r>
      <w:r>
        <w:rPr>
          <w:spacing w:val="-6"/>
          <w:sz w:val="24"/>
        </w:rPr>
        <w:t> </w:t>
      </w:r>
      <w:r>
        <w:rPr>
          <w:sz w:val="24"/>
        </w:rPr>
        <w:t>Zafrani</w:t>
      </w:r>
      <w:r>
        <w:rPr>
          <w:spacing w:val="-1"/>
          <w:sz w:val="24"/>
        </w:rPr>
        <w:t> </w:t>
      </w:r>
      <w:r>
        <w:rPr>
          <w:sz w:val="24"/>
        </w:rPr>
        <w:t>L,</w:t>
      </w:r>
      <w:r>
        <w:rPr>
          <w:spacing w:val="-6"/>
          <w:sz w:val="24"/>
        </w:rPr>
        <w:t> </w:t>
      </w:r>
      <w:r>
        <w:rPr>
          <w:sz w:val="24"/>
        </w:rPr>
        <w:t>Lambert J,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-1"/>
          <w:sz w:val="24"/>
        </w:rPr>
        <w:t> </w:t>
      </w:r>
      <w:r>
        <w:rPr>
          <w:sz w:val="24"/>
        </w:rPr>
        <w:t>Injury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Newly</w:t>
      </w:r>
      <w:r>
        <w:rPr>
          <w:spacing w:val="-57"/>
          <w:sz w:val="24"/>
        </w:rPr>
        <w:t> </w:t>
      </w:r>
      <w:r>
        <w:rPr>
          <w:sz w:val="24"/>
        </w:rPr>
        <w:t>Diagnosed High-Grade Hematological Malignancies: Impact on Remission and</w:t>
      </w:r>
      <w:r>
        <w:rPr>
          <w:spacing w:val="1"/>
          <w:sz w:val="24"/>
        </w:rPr>
        <w:t> </w:t>
      </w:r>
      <w:r>
        <w:rPr>
          <w:sz w:val="24"/>
        </w:rPr>
        <w:t>Survival. PLoS</w:t>
      </w:r>
      <w:r>
        <w:rPr>
          <w:spacing w:val="-2"/>
          <w:sz w:val="24"/>
        </w:rPr>
        <w:t> </w:t>
      </w:r>
      <w:r>
        <w:rPr>
          <w:sz w:val="24"/>
        </w:rPr>
        <w:t>One. 2013;8(2):E55870.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800" w:hanging="640"/>
        <w:jc w:val="left"/>
        <w:rPr>
          <w:sz w:val="24"/>
        </w:rPr>
      </w:pPr>
      <w:r>
        <w:rPr>
          <w:sz w:val="24"/>
        </w:rPr>
        <w:t>Thomas</w:t>
      </w:r>
      <w:r>
        <w:rPr>
          <w:spacing w:val="-5"/>
          <w:sz w:val="24"/>
        </w:rPr>
        <w:t> </w:t>
      </w:r>
      <w:r>
        <w:rPr>
          <w:sz w:val="24"/>
        </w:rPr>
        <w:t>X,</w:t>
      </w:r>
      <w:r>
        <w:rPr>
          <w:spacing w:val="-2"/>
          <w:sz w:val="24"/>
        </w:rPr>
        <w:t> </w:t>
      </w:r>
      <w:r>
        <w:rPr>
          <w:sz w:val="24"/>
        </w:rPr>
        <w:t>Thiebaut</w:t>
      </w:r>
      <w:r>
        <w:rPr>
          <w:spacing w:val="-2"/>
          <w:sz w:val="24"/>
        </w:rPr>
        <w:t> </w:t>
      </w:r>
      <w:r>
        <w:rPr>
          <w:sz w:val="24"/>
        </w:rPr>
        <w:t>A,</w:t>
      </w:r>
      <w:r>
        <w:rPr>
          <w:spacing w:val="-2"/>
          <w:sz w:val="24"/>
        </w:rPr>
        <w:t> </w:t>
      </w:r>
      <w:r>
        <w:rPr>
          <w:sz w:val="24"/>
        </w:rPr>
        <w:t>Olteanau</w:t>
      </w:r>
      <w:r>
        <w:rPr>
          <w:spacing w:val="-2"/>
          <w:sz w:val="24"/>
        </w:rPr>
        <w:t> </w:t>
      </w:r>
      <w:r>
        <w:rPr>
          <w:sz w:val="24"/>
        </w:rPr>
        <w:t>N,</w:t>
      </w:r>
      <w:r>
        <w:rPr>
          <w:spacing w:val="-2"/>
          <w:sz w:val="24"/>
        </w:rPr>
        <w:t> </w:t>
      </w:r>
      <w:r>
        <w:rPr>
          <w:sz w:val="24"/>
        </w:rPr>
        <w:t>Et.</w:t>
      </w:r>
      <w:r>
        <w:rPr>
          <w:spacing w:val="-2"/>
          <w:sz w:val="24"/>
        </w:rPr>
        <w:t> </w:t>
      </w:r>
      <w:r>
        <w:rPr>
          <w:sz w:val="24"/>
        </w:rPr>
        <w:t>al.</w:t>
      </w:r>
      <w:r>
        <w:rPr>
          <w:spacing w:val="-2"/>
          <w:sz w:val="24"/>
        </w:rPr>
        <w:t> </w:t>
      </w:r>
      <w:r>
        <w:rPr>
          <w:sz w:val="24"/>
        </w:rPr>
        <w:t>Philadelphia</w:t>
      </w:r>
      <w:r>
        <w:rPr>
          <w:spacing w:val="-2"/>
          <w:sz w:val="24"/>
        </w:rPr>
        <w:t> </w:t>
      </w:r>
      <w:r>
        <w:rPr>
          <w:sz w:val="24"/>
        </w:rPr>
        <w:t>chromosome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5"/>
          <w:sz w:val="24"/>
        </w:rPr>
        <w:t> </w:t>
      </w:r>
      <w:r>
        <w:rPr>
          <w:sz w:val="24"/>
        </w:rPr>
        <w:t>adult</w:t>
      </w:r>
      <w:r>
        <w:rPr>
          <w:spacing w:val="-57"/>
          <w:sz w:val="24"/>
        </w:rPr>
        <w:t> </w:t>
      </w:r>
      <w:r>
        <w:rPr>
          <w:sz w:val="24"/>
        </w:rPr>
        <w:t>acute lymphoblastic leukemia: characteristics, prognostic factors and treatment</w:t>
      </w:r>
      <w:r>
        <w:rPr>
          <w:spacing w:val="1"/>
          <w:sz w:val="24"/>
        </w:rPr>
        <w:t> </w:t>
      </w:r>
      <w:r>
        <w:rPr>
          <w:sz w:val="24"/>
        </w:rPr>
        <w:t>outcome.</w:t>
      </w:r>
      <w:r>
        <w:rPr>
          <w:spacing w:val="-1"/>
          <w:sz w:val="24"/>
        </w:rPr>
        <w:t> </w:t>
      </w:r>
      <w:r>
        <w:rPr>
          <w:sz w:val="24"/>
        </w:rPr>
        <w:t>Hematol Cell Ther. 1998;40(3):119–28.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683" w:hanging="640"/>
        <w:jc w:val="left"/>
        <w:rPr>
          <w:sz w:val="24"/>
        </w:rPr>
      </w:pPr>
      <w:r>
        <w:rPr>
          <w:sz w:val="24"/>
        </w:rPr>
        <w:t>Fielding A, Rowe J, Richards S, et al. Prospective outcome data on 267 unselected</w:t>
      </w:r>
      <w:r>
        <w:rPr>
          <w:spacing w:val="1"/>
          <w:sz w:val="24"/>
        </w:rPr>
        <w:t> </w:t>
      </w:r>
      <w:r>
        <w:rPr>
          <w:sz w:val="24"/>
        </w:rPr>
        <w:t>adult</w:t>
      </w:r>
      <w:r>
        <w:rPr>
          <w:spacing w:val="-5"/>
          <w:sz w:val="24"/>
        </w:rPr>
        <w:t> </w:t>
      </w:r>
      <w:r>
        <w:rPr>
          <w:sz w:val="24"/>
        </w:rPr>
        <w:t>patients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Philadelphia</w:t>
      </w:r>
      <w:r>
        <w:rPr>
          <w:spacing w:val="-3"/>
          <w:sz w:val="24"/>
        </w:rPr>
        <w:t> </w:t>
      </w:r>
      <w:r>
        <w:rPr>
          <w:sz w:val="24"/>
        </w:rPr>
        <w:t>chromosome-</w:t>
      </w:r>
      <w:r>
        <w:rPr>
          <w:spacing w:val="-5"/>
          <w:sz w:val="24"/>
        </w:rPr>
        <w:t> </w:t>
      </w:r>
      <w:r>
        <w:rPr>
          <w:sz w:val="24"/>
        </w:rPr>
        <w:t>positive</w:t>
      </w:r>
      <w:r>
        <w:rPr>
          <w:spacing w:val="-3"/>
          <w:sz w:val="24"/>
        </w:rPr>
        <w:t> </w:t>
      </w:r>
      <w:r>
        <w:rPr>
          <w:sz w:val="24"/>
        </w:rPr>
        <w:t>acute</w:t>
      </w:r>
      <w:r>
        <w:rPr>
          <w:spacing w:val="-3"/>
          <w:sz w:val="24"/>
        </w:rPr>
        <w:t> </w:t>
      </w:r>
      <w:r>
        <w:rPr>
          <w:sz w:val="24"/>
        </w:rPr>
        <w:t>lymphoblastic</w:t>
      </w:r>
      <w:r>
        <w:rPr>
          <w:spacing w:val="-7"/>
          <w:sz w:val="24"/>
        </w:rPr>
        <w:t> </w:t>
      </w:r>
      <w:r>
        <w:rPr>
          <w:sz w:val="24"/>
        </w:rPr>
        <w:t>leukemia</w:t>
      </w:r>
      <w:r>
        <w:rPr>
          <w:spacing w:val="-57"/>
          <w:sz w:val="24"/>
        </w:rPr>
        <w:t> </w:t>
      </w:r>
      <w:r>
        <w:rPr>
          <w:sz w:val="24"/>
        </w:rPr>
        <w:t>confirms superiority of allogeneic transplantation over chemotherapy in the pre-</w:t>
      </w:r>
      <w:r>
        <w:rPr>
          <w:spacing w:val="1"/>
          <w:sz w:val="24"/>
        </w:rPr>
        <w:t> </w:t>
      </w:r>
      <w:r>
        <w:rPr>
          <w:sz w:val="24"/>
        </w:rPr>
        <w:t>imatinib</w:t>
      </w:r>
      <w:r>
        <w:rPr>
          <w:spacing w:val="-1"/>
          <w:sz w:val="24"/>
        </w:rPr>
        <w:t> </w:t>
      </w:r>
      <w:r>
        <w:rPr>
          <w:sz w:val="24"/>
        </w:rPr>
        <w:t>era: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4"/>
          <w:sz w:val="24"/>
        </w:rPr>
        <w:t> </w:t>
      </w:r>
      <w:r>
        <w:rPr>
          <w:sz w:val="24"/>
        </w:rPr>
        <w:t>ALL . Blood.</w:t>
      </w:r>
      <w:r>
        <w:rPr>
          <w:spacing w:val="-1"/>
          <w:sz w:val="24"/>
        </w:rPr>
        <w:t> </w:t>
      </w:r>
      <w:r>
        <w:rPr>
          <w:sz w:val="24"/>
        </w:rPr>
        <w:t>2009;113(19):4489–96.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852" w:hanging="640"/>
        <w:jc w:val="left"/>
        <w:rPr>
          <w:sz w:val="24"/>
        </w:rPr>
      </w:pPr>
      <w:r>
        <w:rPr>
          <w:sz w:val="24"/>
        </w:rPr>
        <w:t>Oriol A, Vives S, Hernandez-Rivas J, Al E. Outcome after relapse of acute</w:t>
      </w:r>
      <w:r>
        <w:rPr>
          <w:spacing w:val="1"/>
          <w:sz w:val="24"/>
        </w:rPr>
        <w:t> </w:t>
      </w:r>
      <w:r>
        <w:rPr>
          <w:sz w:val="24"/>
        </w:rPr>
        <w:t>lymphoblastic leukemia (ALL) in adult patients included in four consecutive risk-</w:t>
      </w:r>
      <w:r>
        <w:rPr>
          <w:spacing w:val="1"/>
          <w:sz w:val="24"/>
        </w:rPr>
        <w:t> </w:t>
      </w:r>
      <w:r>
        <w:rPr>
          <w:sz w:val="24"/>
        </w:rPr>
        <w:t>adapted</w:t>
      </w:r>
      <w:r>
        <w:rPr>
          <w:spacing w:val="-6"/>
          <w:sz w:val="24"/>
        </w:rPr>
        <w:t> </w:t>
      </w:r>
      <w:r>
        <w:rPr>
          <w:sz w:val="24"/>
        </w:rPr>
        <w:t>trials</w:t>
      </w:r>
      <w:r>
        <w:rPr>
          <w:spacing w:val="-3"/>
          <w:sz w:val="24"/>
        </w:rPr>
        <w:t> </w:t>
      </w:r>
      <w:r>
        <w:rPr>
          <w:sz w:val="24"/>
        </w:rPr>
        <w:t>from the PETHEMA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Group.</w:t>
      </w:r>
      <w:r>
        <w:rPr>
          <w:spacing w:val="-1"/>
          <w:sz w:val="24"/>
        </w:rPr>
        <w:t> </w:t>
      </w:r>
      <w:r>
        <w:rPr>
          <w:sz w:val="24"/>
        </w:rPr>
        <w:t>Haematologica.</w:t>
      </w:r>
      <w:r>
        <w:rPr>
          <w:spacing w:val="-1"/>
          <w:sz w:val="24"/>
        </w:rPr>
        <w:t> </w:t>
      </w:r>
      <w:r>
        <w:rPr>
          <w:sz w:val="24"/>
        </w:rPr>
        <w:t>2010;95:589–96.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00" w:after="0"/>
        <w:ind w:left="1120" w:right="674" w:hanging="640"/>
        <w:jc w:val="left"/>
        <w:rPr>
          <w:sz w:val="24"/>
        </w:rPr>
      </w:pPr>
      <w:r>
        <w:rPr>
          <w:sz w:val="24"/>
        </w:rPr>
        <w:t>Bassan R, Spinelli O, Oldani E. Improved risk classification for for risk-specific</w:t>
      </w:r>
      <w:r>
        <w:rPr>
          <w:spacing w:val="1"/>
          <w:sz w:val="24"/>
        </w:rPr>
        <w:t> </w:t>
      </w:r>
      <w:r>
        <w:rPr>
          <w:sz w:val="24"/>
        </w:rPr>
        <w:t>therapy based on the molecular study of MRD in adult ALL. Blood. 2009;113:4153–</w:t>
      </w:r>
      <w:r>
        <w:rPr>
          <w:spacing w:val="-57"/>
          <w:sz w:val="24"/>
        </w:rPr>
        <w:t> </w:t>
      </w:r>
      <w:r>
        <w:rPr>
          <w:sz w:val="24"/>
        </w:rPr>
        <w:t>62.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996" w:hanging="640"/>
        <w:jc w:val="left"/>
        <w:rPr>
          <w:sz w:val="24"/>
        </w:rPr>
      </w:pPr>
      <w:r>
        <w:rPr>
          <w:sz w:val="24"/>
        </w:rPr>
        <w:t>Ribera J. Quimioterapia e imatinib, seguido de trasplante de progenitores</w:t>
      </w:r>
      <w:r>
        <w:rPr>
          <w:spacing w:val="1"/>
          <w:sz w:val="24"/>
        </w:rPr>
        <w:t> </w:t>
      </w:r>
      <w:r>
        <w:rPr>
          <w:sz w:val="24"/>
        </w:rPr>
        <w:t>hematopoyéticos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adultos</w:t>
      </w:r>
      <w:r>
        <w:rPr>
          <w:spacing w:val="-3"/>
          <w:sz w:val="24"/>
        </w:rPr>
        <w:t> </w:t>
      </w:r>
      <w:r>
        <w:rPr>
          <w:sz w:val="24"/>
        </w:rPr>
        <w:t>jóvenes</w:t>
      </w:r>
      <w:r>
        <w:rPr>
          <w:spacing w:val="-3"/>
          <w:sz w:val="24"/>
        </w:rPr>
        <w:t> </w:t>
      </w:r>
      <w:r>
        <w:rPr>
          <w:sz w:val="24"/>
        </w:rPr>
        <w:t>(edad</w:t>
      </w:r>
      <w:r>
        <w:rPr>
          <w:spacing w:val="-5"/>
          <w:sz w:val="24"/>
        </w:rPr>
        <w:t> </w:t>
      </w:r>
      <w:r>
        <w:rPr>
          <w:sz w:val="24"/>
        </w:rPr>
        <w:t>inferior</w:t>
      </w:r>
      <w:r>
        <w:rPr>
          <w:spacing w:val="-1"/>
          <w:sz w:val="24"/>
        </w:rPr>
        <w:t> </w:t>
      </w:r>
      <w:r>
        <w:rPr>
          <w:sz w:val="24"/>
        </w:rPr>
        <w:t>a 55</w:t>
      </w:r>
      <w:r>
        <w:rPr>
          <w:spacing w:val="-6"/>
          <w:sz w:val="24"/>
        </w:rPr>
        <w:t> </w:t>
      </w:r>
      <w:r>
        <w:rPr>
          <w:sz w:val="24"/>
        </w:rPr>
        <w:t>años)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leucemia</w:t>
      </w:r>
      <w:r>
        <w:rPr>
          <w:spacing w:val="-3"/>
          <w:sz w:val="24"/>
        </w:rPr>
        <w:t> </w:t>
      </w:r>
      <w:r>
        <w:rPr>
          <w:sz w:val="24"/>
        </w:rPr>
        <w:t>aguda</w:t>
      </w:r>
      <w:r>
        <w:rPr>
          <w:spacing w:val="-57"/>
          <w:sz w:val="24"/>
        </w:rPr>
        <w:t> </w:t>
      </w:r>
      <w:r>
        <w:rPr>
          <w:sz w:val="24"/>
        </w:rPr>
        <w:t>linfoblástica ph (bcr-abl) positiva. 2013.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871" w:hanging="640"/>
        <w:jc w:val="left"/>
        <w:rPr>
          <w:sz w:val="24"/>
        </w:rPr>
      </w:pPr>
      <w:r>
        <w:rPr>
          <w:sz w:val="24"/>
        </w:rPr>
        <w:t>Bruggemann</w:t>
      </w:r>
      <w:r>
        <w:rPr>
          <w:spacing w:val="-3"/>
          <w:sz w:val="24"/>
        </w:rPr>
        <w:t> </w:t>
      </w:r>
      <w:r>
        <w:rPr>
          <w:sz w:val="24"/>
        </w:rPr>
        <w:t>M,</w:t>
      </w:r>
      <w:r>
        <w:rPr>
          <w:spacing w:val="-2"/>
          <w:sz w:val="24"/>
        </w:rPr>
        <w:t> </w:t>
      </w:r>
      <w:r>
        <w:rPr>
          <w:sz w:val="24"/>
        </w:rPr>
        <w:t>Raff</w:t>
      </w:r>
      <w:r>
        <w:rPr>
          <w:spacing w:val="-2"/>
          <w:sz w:val="24"/>
        </w:rPr>
        <w:t> </w:t>
      </w:r>
      <w:r>
        <w:rPr>
          <w:sz w:val="24"/>
        </w:rPr>
        <w:t>M,</w:t>
      </w:r>
      <w:r>
        <w:rPr>
          <w:spacing w:val="-3"/>
          <w:sz w:val="24"/>
        </w:rPr>
        <w:t> </w:t>
      </w:r>
      <w:r>
        <w:rPr>
          <w:sz w:val="24"/>
        </w:rPr>
        <w:t>Flohr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6"/>
          <w:sz w:val="24"/>
        </w:rPr>
        <w:t> </w:t>
      </w: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3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quantification in adult patients with standard risk acute lymphoblastic leukemia.</w:t>
      </w:r>
      <w:r>
        <w:rPr>
          <w:spacing w:val="1"/>
          <w:sz w:val="24"/>
        </w:rPr>
        <w:t> </w:t>
      </w:r>
      <w:r>
        <w:rPr>
          <w:sz w:val="24"/>
        </w:rPr>
        <w:t>Blood. 2006;107:116–1123.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069" w:hanging="640"/>
        <w:jc w:val="left"/>
        <w:rPr>
          <w:sz w:val="24"/>
        </w:rPr>
      </w:pPr>
      <w:r>
        <w:rPr>
          <w:sz w:val="24"/>
        </w:rPr>
        <w:t>Gökbuget N, Stanze D, Beck J, Diedrich H. Freund M, Hoelzer D; German</w:t>
      </w:r>
      <w:r>
        <w:rPr>
          <w:spacing w:val="1"/>
          <w:sz w:val="24"/>
        </w:rPr>
        <w:t> </w:t>
      </w:r>
      <w:r>
        <w:rPr>
          <w:sz w:val="24"/>
        </w:rPr>
        <w:t>Multicenter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Adult</w:t>
      </w:r>
      <w:r>
        <w:rPr>
          <w:spacing w:val="-3"/>
          <w:sz w:val="24"/>
        </w:rPr>
        <w:t> </w:t>
      </w:r>
      <w:r>
        <w:rPr>
          <w:sz w:val="24"/>
        </w:rPr>
        <w:t>Acute</w:t>
      </w:r>
      <w:r>
        <w:rPr>
          <w:spacing w:val="-5"/>
          <w:sz w:val="24"/>
        </w:rPr>
        <w:t> </w:t>
      </w:r>
      <w:r>
        <w:rPr>
          <w:sz w:val="24"/>
        </w:rPr>
        <w:t>Lymphoblastic</w:t>
      </w:r>
      <w:r>
        <w:rPr>
          <w:spacing w:val="-2"/>
          <w:sz w:val="24"/>
        </w:rPr>
        <w:t> </w:t>
      </w:r>
      <w:r>
        <w:rPr>
          <w:sz w:val="24"/>
        </w:rPr>
        <w:t>Leukemia.</w:t>
      </w:r>
      <w:r>
        <w:rPr>
          <w:spacing w:val="-2"/>
          <w:sz w:val="24"/>
        </w:rPr>
        <w:t> </w:t>
      </w:r>
      <w:r>
        <w:rPr>
          <w:sz w:val="24"/>
        </w:rPr>
        <w:t>Outcome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relapsed adult lymphoblastic leukemia depends on response to salvage</w:t>
      </w:r>
      <w:r>
        <w:rPr>
          <w:spacing w:val="1"/>
          <w:sz w:val="24"/>
        </w:rPr>
        <w:t> </w:t>
      </w:r>
      <w:r>
        <w:rPr>
          <w:sz w:val="24"/>
        </w:rPr>
        <w:t>chemotherapy, prognostic factors, and performance of stem cell transplantation.</w:t>
      </w:r>
      <w:r>
        <w:rPr>
          <w:spacing w:val="1"/>
          <w:sz w:val="24"/>
        </w:rPr>
        <w:t> </w:t>
      </w:r>
      <w:r>
        <w:rPr>
          <w:sz w:val="24"/>
        </w:rPr>
        <w:t>Blood. 2012;120(10):2032–41.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328" w:hanging="640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alto</w:t>
      </w:r>
      <w:r>
        <w:rPr>
          <w:spacing w:val="-7"/>
          <w:sz w:val="24"/>
        </w:rPr>
        <w:t> </w:t>
      </w:r>
      <w:r>
        <w:rPr>
          <w:sz w:val="24"/>
        </w:rPr>
        <w:t>costo.</w:t>
      </w:r>
      <w:r>
        <w:rPr>
          <w:spacing w:val="-1"/>
          <w:sz w:val="24"/>
        </w:rPr>
        <w:t> </w:t>
      </w:r>
      <w:r>
        <w:rPr>
          <w:sz w:val="24"/>
        </w:rPr>
        <w:t>Situación</w:t>
      </w:r>
      <w:r>
        <w:rPr>
          <w:spacing w:val="-2"/>
          <w:sz w:val="24"/>
        </w:rPr>
        <w:t> </w:t>
      </w:r>
      <w:r>
        <w:rPr>
          <w:sz w:val="24"/>
        </w:rPr>
        <w:t>de cáncer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población</w:t>
      </w:r>
      <w:r>
        <w:rPr>
          <w:spacing w:val="-6"/>
          <w:sz w:val="24"/>
        </w:rPr>
        <w:t> </w:t>
      </w:r>
      <w:r>
        <w:rPr>
          <w:sz w:val="24"/>
        </w:rPr>
        <w:t>adulta</w:t>
      </w:r>
      <w:r>
        <w:rPr>
          <w:spacing w:val="-1"/>
          <w:sz w:val="24"/>
        </w:rPr>
        <w:t> </w:t>
      </w:r>
      <w:r>
        <w:rPr>
          <w:sz w:val="24"/>
        </w:rPr>
        <w:t>atendida 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SGSSS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Colombia</w:t>
      </w:r>
      <w:r>
        <w:rPr>
          <w:spacing w:val="1"/>
          <w:sz w:val="24"/>
        </w:rPr>
        <w:t> </w:t>
      </w:r>
      <w:r>
        <w:rPr>
          <w:sz w:val="24"/>
        </w:rPr>
        <w:t>2018. Bogotá D.C; 2018.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1243" w:hanging="640"/>
        <w:jc w:val="left"/>
        <w:rPr>
          <w:sz w:val="24"/>
        </w:rPr>
      </w:pPr>
      <w:r>
        <w:rPr>
          <w:sz w:val="24"/>
        </w:rPr>
        <w:t>Sossa C, Peña A, Muentes Z, Arenas M, Serrano S. Survival of Acute</w:t>
      </w:r>
      <w:r>
        <w:rPr>
          <w:spacing w:val="1"/>
          <w:sz w:val="24"/>
        </w:rPr>
        <w:t> </w:t>
      </w:r>
      <w:r>
        <w:rPr>
          <w:sz w:val="24"/>
        </w:rPr>
        <w:t>Lymphoblastic</w:t>
      </w:r>
      <w:r>
        <w:rPr>
          <w:spacing w:val="-2"/>
          <w:sz w:val="24"/>
        </w:rPr>
        <w:t> </w:t>
      </w:r>
      <w:r>
        <w:rPr>
          <w:sz w:val="24"/>
        </w:rPr>
        <w:t>Leukemia:</w:t>
      </w:r>
      <w:r>
        <w:rPr>
          <w:spacing w:val="-3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Center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Colombia.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57"/>
          <w:sz w:val="24"/>
        </w:rPr>
        <w:t> </w:t>
      </w:r>
      <w:r>
        <w:rPr>
          <w:sz w:val="24"/>
        </w:rPr>
        <w:t>Lymphoma,</w:t>
      </w:r>
      <w:r>
        <w:rPr>
          <w:spacing w:val="-1"/>
          <w:sz w:val="24"/>
        </w:rPr>
        <w:t> </w:t>
      </w:r>
      <w:r>
        <w:rPr>
          <w:sz w:val="24"/>
        </w:rPr>
        <w:t>Myeloma</w:t>
      </w:r>
      <w:r>
        <w:rPr>
          <w:spacing w:val="-3"/>
          <w:sz w:val="24"/>
        </w:rPr>
        <w:t> </w:t>
      </w:r>
      <w:r>
        <w:rPr>
          <w:sz w:val="24"/>
        </w:rPr>
        <w:t>&amp; Leukemia. 2018.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822" w:hanging="640"/>
        <w:jc w:val="left"/>
        <w:rPr>
          <w:sz w:val="24"/>
        </w:rPr>
      </w:pPr>
      <w:r>
        <w:rPr>
          <w:sz w:val="24"/>
        </w:rPr>
        <w:t>Gökbuget</w:t>
      </w:r>
      <w:r>
        <w:rPr>
          <w:spacing w:val="-3"/>
          <w:sz w:val="24"/>
        </w:rPr>
        <w:t> </w:t>
      </w:r>
      <w:r>
        <w:rPr>
          <w:sz w:val="24"/>
        </w:rPr>
        <w:t>N,</w:t>
      </w:r>
      <w:r>
        <w:rPr>
          <w:spacing w:val="-3"/>
          <w:sz w:val="24"/>
        </w:rPr>
        <w:t> </w:t>
      </w:r>
      <w:r>
        <w:rPr>
          <w:sz w:val="24"/>
        </w:rPr>
        <w:t>Dombret</w:t>
      </w:r>
      <w:r>
        <w:rPr>
          <w:spacing w:val="-2"/>
          <w:sz w:val="24"/>
        </w:rPr>
        <w:t> </w:t>
      </w:r>
      <w:r>
        <w:rPr>
          <w:sz w:val="24"/>
        </w:rPr>
        <w:t>H,</w:t>
      </w:r>
      <w:r>
        <w:rPr>
          <w:spacing w:val="-3"/>
          <w:sz w:val="24"/>
        </w:rPr>
        <w:t> </w:t>
      </w:r>
      <w:r>
        <w:rPr>
          <w:sz w:val="24"/>
        </w:rPr>
        <w:t>Giebel</w:t>
      </w:r>
      <w:r>
        <w:rPr>
          <w:spacing w:val="-2"/>
          <w:sz w:val="24"/>
        </w:rPr>
        <w:t> </w:t>
      </w:r>
      <w:r>
        <w:rPr>
          <w:sz w:val="24"/>
        </w:rPr>
        <w:t>S,</w:t>
      </w:r>
      <w:r>
        <w:rPr>
          <w:spacing w:val="-3"/>
          <w:sz w:val="24"/>
        </w:rPr>
        <w:t> </w:t>
      </w:r>
      <w:r>
        <w:rPr>
          <w:sz w:val="24"/>
        </w:rPr>
        <w:t>Bruggemann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Minimal</w:t>
      </w:r>
      <w:r>
        <w:rPr>
          <w:spacing w:val="-3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57"/>
          <w:sz w:val="24"/>
        </w:rPr>
        <w:t> </w:t>
      </w:r>
      <w:r>
        <w:rPr>
          <w:sz w:val="24"/>
        </w:rPr>
        <w:t>predicts outcome in adults with Ph-negative B-precursor acute lymphoblastic</w:t>
      </w:r>
      <w:r>
        <w:rPr>
          <w:spacing w:val="1"/>
          <w:sz w:val="24"/>
        </w:rPr>
        <w:t> </w:t>
      </w:r>
      <w:r>
        <w:rPr>
          <w:sz w:val="24"/>
        </w:rPr>
        <w:t>leukemia.</w:t>
      </w:r>
      <w:r>
        <w:rPr>
          <w:spacing w:val="-1"/>
          <w:sz w:val="24"/>
        </w:rPr>
        <w:t> </w:t>
      </w:r>
      <w:r>
        <w:rPr>
          <w:sz w:val="24"/>
        </w:rPr>
        <w:t>Hematology. 2019;24(1):337–48.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00" w:after="0"/>
        <w:ind w:left="1120" w:right="878" w:hanging="640"/>
        <w:jc w:val="left"/>
        <w:rPr>
          <w:sz w:val="24"/>
        </w:rPr>
      </w:pPr>
      <w:r>
        <w:rPr>
          <w:sz w:val="24"/>
        </w:rPr>
        <w:t>Gupta R, Othman T, Uche A, et. al. Characteristics and Trends of Adult Acute</w:t>
      </w:r>
      <w:r>
        <w:rPr>
          <w:spacing w:val="1"/>
          <w:sz w:val="24"/>
        </w:rPr>
        <w:t> </w:t>
      </w:r>
      <w:r>
        <w:rPr>
          <w:sz w:val="24"/>
        </w:rPr>
        <w:t>Lymphoblastic Leukemia in a Large, Public Safety-Net Hospital. Clin Lymphoma.</w:t>
      </w:r>
      <w:r>
        <w:rPr>
          <w:spacing w:val="-57"/>
          <w:sz w:val="24"/>
        </w:rPr>
        <w:t> </w:t>
      </w:r>
      <w:r>
        <w:rPr>
          <w:sz w:val="24"/>
        </w:rPr>
        <w:t>2020;20(6):e320–7.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988" w:hanging="640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salud.</w:t>
      </w:r>
      <w:r>
        <w:rPr>
          <w:spacing w:val="-7"/>
          <w:sz w:val="24"/>
        </w:rPr>
        <w:t> </w:t>
      </w:r>
      <w:r>
        <w:rPr>
          <w:sz w:val="24"/>
        </w:rPr>
        <w:t>Encuesta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salud</w:t>
      </w:r>
      <w:r>
        <w:rPr>
          <w:spacing w:val="-3"/>
          <w:sz w:val="24"/>
        </w:rPr>
        <w:t> </w:t>
      </w:r>
      <w:r>
        <w:rPr>
          <w:sz w:val="24"/>
        </w:rPr>
        <w:t>[Internet].</w:t>
      </w:r>
      <w:r>
        <w:rPr>
          <w:spacing w:val="-3"/>
          <w:sz w:val="24"/>
        </w:rPr>
        <w:t> </w:t>
      </w:r>
      <w:r>
        <w:rPr>
          <w:sz w:val="24"/>
        </w:rPr>
        <w:t>2015.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-57"/>
          <w:sz w:val="24"/>
        </w:rPr>
        <w:t> </w:t>
      </w:r>
      <w:r>
        <w:rPr>
          <w:sz w:val="24"/>
        </w:rPr>
        <w:t>from: https://</w:t>
      </w:r>
      <w:hyperlink r:id="rId37">
        <w:r>
          <w:rPr>
            <w:sz w:val="24"/>
          </w:rPr>
          <w:t>www.icbf.gov.co/bienestar/nutricion/encuesta-nacional-situacion-</w:t>
        </w:r>
      </w:hyperlink>
      <w:r>
        <w:rPr>
          <w:spacing w:val="1"/>
          <w:sz w:val="24"/>
        </w:rPr>
        <w:t> </w:t>
      </w:r>
      <w:r>
        <w:rPr>
          <w:sz w:val="24"/>
        </w:rPr>
        <w:t>nutricional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1012" w:hanging="640"/>
        <w:jc w:val="left"/>
        <w:rPr>
          <w:sz w:val="24"/>
        </w:rPr>
      </w:pPr>
      <w:r>
        <w:rPr>
          <w:sz w:val="24"/>
        </w:rPr>
        <w:t>Radaelli A, Stephens J, Laskin B, Pashos C. The burden and outcomes associated</w:t>
      </w:r>
      <w:r>
        <w:rPr>
          <w:spacing w:val="-58"/>
          <w:sz w:val="24"/>
        </w:rPr>
        <w:t> </w:t>
      </w:r>
      <w:r>
        <w:rPr>
          <w:sz w:val="24"/>
        </w:rPr>
        <w:t>with four leukemias: AML, ALL, CLL and CML. Expert Rev Anticancer Ther.</w:t>
      </w:r>
      <w:r>
        <w:rPr>
          <w:spacing w:val="1"/>
          <w:sz w:val="24"/>
        </w:rPr>
        <w:t> </w:t>
      </w:r>
      <w:r>
        <w:rPr>
          <w:sz w:val="24"/>
        </w:rPr>
        <w:t>2003;3(3):311–29.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057" w:hanging="640"/>
        <w:jc w:val="left"/>
        <w:rPr>
          <w:sz w:val="24"/>
        </w:rPr>
      </w:pPr>
      <w:r>
        <w:rPr>
          <w:sz w:val="24"/>
        </w:rPr>
        <w:t>Pulte</w:t>
      </w:r>
      <w:r>
        <w:rPr>
          <w:spacing w:val="-1"/>
          <w:sz w:val="24"/>
        </w:rPr>
        <w:t> </w:t>
      </w:r>
      <w:r>
        <w:rPr>
          <w:sz w:val="24"/>
        </w:rPr>
        <w:t>D,</w:t>
      </w:r>
      <w:r>
        <w:rPr>
          <w:spacing w:val="-2"/>
          <w:sz w:val="24"/>
        </w:rPr>
        <w:t> </w:t>
      </w:r>
      <w:r>
        <w:rPr>
          <w:sz w:val="24"/>
        </w:rPr>
        <w:t>Jansen</w:t>
      </w:r>
      <w:r>
        <w:rPr>
          <w:spacing w:val="-1"/>
          <w:sz w:val="24"/>
        </w:rPr>
        <w:t> </w:t>
      </w:r>
      <w:r>
        <w:rPr>
          <w:sz w:val="24"/>
        </w:rPr>
        <w:t>L,</w:t>
      </w:r>
      <w:r>
        <w:rPr>
          <w:spacing w:val="-2"/>
          <w:sz w:val="24"/>
        </w:rPr>
        <w:t> </w:t>
      </w:r>
      <w:r>
        <w:rPr>
          <w:sz w:val="24"/>
        </w:rPr>
        <w:t>Brenner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term survival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diagnosis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common hematologic malignancies in the early 21st century. Blood Cancer J.</w:t>
      </w:r>
      <w:r>
        <w:rPr>
          <w:spacing w:val="1"/>
          <w:sz w:val="24"/>
        </w:rPr>
        <w:t> </w:t>
      </w:r>
      <w:r>
        <w:rPr>
          <w:sz w:val="24"/>
        </w:rPr>
        <w:t>2020;10(5):56.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667" w:hanging="640"/>
        <w:jc w:val="left"/>
        <w:rPr>
          <w:sz w:val="24"/>
        </w:rPr>
      </w:pPr>
      <w:r>
        <w:rPr>
          <w:sz w:val="24"/>
        </w:rPr>
        <w:t>Ribera J, Ribera M, Montesinos P, Tormo M. PETHEMA Group, Spanish Society of</w:t>
      </w:r>
      <w:r>
        <w:rPr>
          <w:spacing w:val="-57"/>
          <w:sz w:val="24"/>
        </w:rPr>
        <w:t> </w:t>
      </w:r>
      <w:r>
        <w:rPr>
          <w:sz w:val="24"/>
        </w:rPr>
        <w:t>Hematology.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pediatric</w:t>
      </w:r>
      <w:r>
        <w:rPr>
          <w:spacing w:val="-2"/>
          <w:sz w:val="24"/>
        </w:rPr>
        <w:t> </w:t>
      </w:r>
      <w:r>
        <w:rPr>
          <w:sz w:val="24"/>
        </w:rPr>
        <w:t>regimen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adolescents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young</w:t>
      </w:r>
      <w:r>
        <w:rPr>
          <w:spacing w:val="-3"/>
          <w:sz w:val="24"/>
        </w:rPr>
        <w:t> </w:t>
      </w:r>
      <w:r>
        <w:rPr>
          <w:sz w:val="24"/>
        </w:rPr>
        <w:t>adults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Philadelphia</w:t>
      </w:r>
      <w:r>
        <w:rPr>
          <w:spacing w:val="-57"/>
          <w:sz w:val="24"/>
        </w:rPr>
        <w:t> </w:t>
      </w:r>
      <w:r>
        <w:rPr>
          <w:sz w:val="24"/>
        </w:rPr>
        <w:t>chromosome-negative acute lymphoblastic leukemia: Results of the ALLRE08</w:t>
      </w:r>
      <w:r>
        <w:rPr>
          <w:spacing w:val="1"/>
          <w:sz w:val="24"/>
        </w:rPr>
        <w:t> </w:t>
      </w:r>
      <w:r>
        <w:rPr>
          <w:sz w:val="24"/>
        </w:rPr>
        <w:t>PETHEMA</w:t>
      </w:r>
      <w:r>
        <w:rPr>
          <w:spacing w:val="-3"/>
          <w:sz w:val="24"/>
        </w:rPr>
        <w:t> </w:t>
      </w:r>
      <w:r>
        <w:rPr>
          <w:sz w:val="24"/>
        </w:rPr>
        <w:t>trial. Cancer Med. 2020;9(7):2317–29.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198" w:hanging="640"/>
        <w:jc w:val="left"/>
        <w:rPr>
          <w:sz w:val="24"/>
        </w:rPr>
      </w:pPr>
      <w:r>
        <w:rPr>
          <w:sz w:val="24"/>
        </w:rPr>
        <w:t>Stock</w:t>
      </w:r>
      <w:r>
        <w:rPr>
          <w:spacing w:val="-2"/>
          <w:sz w:val="24"/>
        </w:rPr>
        <w:t> </w:t>
      </w:r>
      <w:r>
        <w:rPr>
          <w:sz w:val="24"/>
        </w:rPr>
        <w:t>W,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al.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pediatric regimen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older</w:t>
      </w:r>
      <w:r>
        <w:rPr>
          <w:spacing w:val="-1"/>
          <w:sz w:val="24"/>
        </w:rPr>
        <w:t> </w:t>
      </w:r>
      <w:r>
        <w:rPr>
          <w:sz w:val="24"/>
        </w:rPr>
        <w:t>adolescents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young</w:t>
      </w:r>
      <w:r>
        <w:rPr>
          <w:spacing w:val="-6"/>
          <w:sz w:val="24"/>
        </w:rPr>
        <w:t> </w:t>
      </w:r>
      <w:r>
        <w:rPr>
          <w:sz w:val="24"/>
        </w:rPr>
        <w:t>adults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acute lymphoblastic leukemia: results of CALGB 10403. Blood.</w:t>
      </w:r>
      <w:r>
        <w:rPr>
          <w:spacing w:val="1"/>
          <w:sz w:val="24"/>
        </w:rPr>
        <w:t> </w:t>
      </w:r>
      <w:r>
        <w:rPr>
          <w:sz w:val="24"/>
        </w:rPr>
        <w:t>2019;133(14):1548–59.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784" w:hanging="640"/>
        <w:jc w:val="left"/>
        <w:rPr>
          <w:sz w:val="24"/>
        </w:rPr>
      </w:pPr>
      <w:r>
        <w:rPr>
          <w:sz w:val="24"/>
        </w:rPr>
        <w:t>Liu Q, Major B, Le-Rademacher J, Al-Kali A. he Impact of Obesity on the</w:t>
      </w:r>
      <w:r>
        <w:rPr>
          <w:spacing w:val="1"/>
          <w:sz w:val="24"/>
        </w:rPr>
        <w:t> </w:t>
      </w:r>
      <w:r>
        <w:rPr>
          <w:sz w:val="24"/>
        </w:rPr>
        <w:t>Outcomes of Adult Patients with Acute Lymphoblastic Leukemia - A Single Center</w:t>
      </w:r>
      <w:r>
        <w:rPr>
          <w:spacing w:val="-57"/>
          <w:sz w:val="24"/>
        </w:rPr>
        <w:t> </w:t>
      </w:r>
      <w:r>
        <w:rPr>
          <w:sz w:val="24"/>
        </w:rPr>
        <w:t>Retrospective Study. Blood</w:t>
      </w:r>
      <w:r>
        <w:rPr>
          <w:spacing w:val="-5"/>
          <w:sz w:val="24"/>
        </w:rPr>
        <w:t> </w:t>
      </w:r>
      <w:r>
        <w:rPr>
          <w:sz w:val="24"/>
        </w:rPr>
        <w:t>Lymphat Cancer. 2021;11:1–9.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00" w:after="0"/>
        <w:ind w:left="1120" w:right="642" w:hanging="640"/>
        <w:jc w:val="left"/>
        <w:rPr>
          <w:sz w:val="24"/>
        </w:rPr>
      </w:pPr>
      <w:r>
        <w:rPr>
          <w:sz w:val="24"/>
        </w:rPr>
        <w:t>Ravandi F, Jorgensen J, O´Brien S, et al. Minimal residual disease assessed by multi-</w:t>
      </w:r>
      <w:r>
        <w:rPr>
          <w:spacing w:val="-57"/>
          <w:sz w:val="24"/>
        </w:rPr>
        <w:t> </w:t>
      </w:r>
      <w:r>
        <w:rPr>
          <w:sz w:val="24"/>
        </w:rPr>
        <w:t>parameter flow cytometry is highly prognostic in adult patients with acute</w:t>
      </w:r>
      <w:r>
        <w:rPr>
          <w:spacing w:val="1"/>
          <w:sz w:val="24"/>
        </w:rPr>
        <w:t> </w:t>
      </w:r>
      <w:r>
        <w:rPr>
          <w:sz w:val="24"/>
        </w:rPr>
        <w:t>lymphoblastic leukaemia. Br J</w:t>
      </w:r>
      <w:r>
        <w:rPr>
          <w:spacing w:val="-2"/>
          <w:sz w:val="24"/>
        </w:rPr>
        <w:t> </w:t>
      </w:r>
      <w:r>
        <w:rPr>
          <w:sz w:val="24"/>
        </w:rPr>
        <w:t>Haematol.</w:t>
      </w:r>
      <w:r>
        <w:rPr>
          <w:spacing w:val="-5"/>
          <w:sz w:val="24"/>
        </w:rPr>
        <w:t> </w:t>
      </w:r>
      <w:r>
        <w:rPr>
          <w:sz w:val="24"/>
        </w:rPr>
        <w:t>2016;172(3):392–400.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1187" w:hanging="640"/>
        <w:jc w:val="left"/>
        <w:rPr>
          <w:sz w:val="24"/>
        </w:rPr>
      </w:pPr>
      <w:r>
        <w:rPr>
          <w:sz w:val="24"/>
        </w:rPr>
        <w:t>Goldstone A, Wiernik P, Foroni L, Paietta E. In adults with standard-risk acute</w:t>
      </w:r>
      <w:r>
        <w:rPr>
          <w:spacing w:val="1"/>
          <w:sz w:val="24"/>
        </w:rPr>
        <w:t> </w:t>
      </w:r>
      <w:r>
        <w:rPr>
          <w:sz w:val="24"/>
        </w:rPr>
        <w:t>lymphoblastic</w:t>
      </w:r>
      <w:r>
        <w:rPr>
          <w:spacing w:val="-3"/>
          <w:sz w:val="24"/>
        </w:rPr>
        <w:t> </w:t>
      </w:r>
      <w:r>
        <w:rPr>
          <w:sz w:val="24"/>
        </w:rPr>
        <w:t>leukemia,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greatest</w:t>
      </w:r>
      <w:r>
        <w:rPr>
          <w:spacing w:val="-3"/>
          <w:sz w:val="24"/>
        </w:rPr>
        <w:t> </w:t>
      </w:r>
      <w:r>
        <w:rPr>
          <w:sz w:val="24"/>
        </w:rPr>
        <w:t>benefit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achieved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matched</w:t>
      </w:r>
      <w:r>
        <w:rPr>
          <w:spacing w:val="-3"/>
          <w:sz w:val="24"/>
        </w:rPr>
        <w:t> </w:t>
      </w:r>
      <w:r>
        <w:rPr>
          <w:sz w:val="24"/>
        </w:rPr>
        <w:t>sibling</w:t>
      </w:r>
      <w:r>
        <w:rPr>
          <w:spacing w:val="-57"/>
          <w:sz w:val="24"/>
        </w:rPr>
        <w:t> </w:t>
      </w:r>
      <w:r>
        <w:rPr>
          <w:sz w:val="24"/>
        </w:rPr>
        <w:t>allogeneic transplantation in first complete remission, and an autologous</w:t>
      </w:r>
      <w:r>
        <w:rPr>
          <w:spacing w:val="1"/>
          <w:sz w:val="24"/>
        </w:rPr>
        <w:t> </w:t>
      </w:r>
      <w:r>
        <w:rPr>
          <w:sz w:val="24"/>
        </w:rPr>
        <w:t>transplantation is less effective than conventional consolidation/. Blood.</w:t>
      </w:r>
      <w:r>
        <w:rPr>
          <w:spacing w:val="1"/>
          <w:sz w:val="24"/>
        </w:rPr>
        <w:t> </w:t>
      </w:r>
      <w:r>
        <w:rPr>
          <w:sz w:val="24"/>
        </w:rPr>
        <w:t>2008;111:111:1827–1833.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645" w:hanging="640"/>
        <w:jc w:val="left"/>
        <w:rPr>
          <w:sz w:val="24"/>
        </w:rPr>
      </w:pPr>
      <w:r>
        <w:rPr>
          <w:sz w:val="24"/>
        </w:rPr>
        <w:t>Geibel S, Boumendill A, Labopin M, Seesaghur A. Trends in the use of</w:t>
      </w:r>
      <w:r>
        <w:rPr>
          <w:spacing w:val="1"/>
          <w:sz w:val="24"/>
        </w:rPr>
        <w:t> </w:t>
      </w:r>
      <w:r>
        <w:rPr>
          <w:sz w:val="24"/>
        </w:rPr>
        <w:t>hematopoietic stem cell transplantation for adults with acute lymphoblastic leukemia</w:t>
      </w:r>
      <w:r>
        <w:rPr>
          <w:spacing w:val="-57"/>
          <w:sz w:val="24"/>
        </w:rPr>
        <w:t> </w:t>
      </w:r>
      <w:r>
        <w:rPr>
          <w:sz w:val="24"/>
        </w:rPr>
        <w:t>in Europe: a report from the Acute Leukemia Working Party of the European Society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and Marrow</w:t>
      </w:r>
      <w:r>
        <w:rPr>
          <w:spacing w:val="-3"/>
          <w:sz w:val="24"/>
        </w:rPr>
        <w:t> </w:t>
      </w:r>
      <w:r>
        <w:rPr>
          <w:sz w:val="24"/>
        </w:rPr>
        <w:t>Transplantation (EBMT).</w:t>
      </w:r>
      <w:r>
        <w:rPr>
          <w:spacing w:val="-1"/>
          <w:sz w:val="24"/>
        </w:rPr>
        <w:t> </w:t>
      </w:r>
      <w:r>
        <w:rPr>
          <w:sz w:val="24"/>
        </w:rPr>
        <w:t>Ann Hematol.</w:t>
      </w:r>
      <w:r>
        <w:rPr>
          <w:spacing w:val="-1"/>
          <w:sz w:val="24"/>
        </w:rPr>
        <w:t> </w:t>
      </w:r>
      <w:r>
        <w:rPr>
          <w:sz w:val="24"/>
        </w:rPr>
        <w:t>2019;98:2389–98.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715" w:hanging="640"/>
        <w:jc w:val="left"/>
        <w:rPr>
          <w:sz w:val="24"/>
        </w:rPr>
      </w:pPr>
      <w:r>
        <w:rPr>
          <w:sz w:val="24"/>
        </w:rPr>
        <w:t>Shem-Tov</w:t>
      </w:r>
      <w:r>
        <w:rPr>
          <w:spacing w:val="-3"/>
          <w:sz w:val="24"/>
        </w:rPr>
        <w:t> </w:t>
      </w:r>
      <w:r>
        <w:rPr>
          <w:sz w:val="24"/>
        </w:rPr>
        <w:t>N,</w:t>
      </w:r>
      <w:r>
        <w:rPr>
          <w:spacing w:val="-2"/>
          <w:sz w:val="24"/>
        </w:rPr>
        <w:t> </w:t>
      </w:r>
      <w:r>
        <w:rPr>
          <w:sz w:val="24"/>
        </w:rPr>
        <w:t>Peczynski</w:t>
      </w:r>
      <w:r>
        <w:rPr>
          <w:spacing w:val="-2"/>
          <w:sz w:val="24"/>
        </w:rPr>
        <w:t> </w:t>
      </w:r>
      <w:r>
        <w:rPr>
          <w:sz w:val="24"/>
        </w:rPr>
        <w:t>C,</w:t>
      </w:r>
      <w:r>
        <w:rPr>
          <w:spacing w:val="-2"/>
          <w:sz w:val="24"/>
        </w:rPr>
        <w:t> </w:t>
      </w:r>
      <w:r>
        <w:rPr>
          <w:sz w:val="24"/>
        </w:rPr>
        <w:t>Labopin</w:t>
      </w:r>
      <w:r>
        <w:rPr>
          <w:spacing w:val="-2"/>
          <w:sz w:val="24"/>
        </w:rPr>
        <w:t> </w:t>
      </w:r>
      <w:r>
        <w:rPr>
          <w:sz w:val="24"/>
        </w:rPr>
        <w:t>M,</w:t>
      </w:r>
      <w:r>
        <w:rPr>
          <w:spacing w:val="-2"/>
          <w:sz w:val="24"/>
        </w:rPr>
        <w:t> </w:t>
      </w:r>
      <w:r>
        <w:rPr>
          <w:sz w:val="24"/>
        </w:rPr>
        <w:t>Itälä-Remes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Haploidentical</w:t>
      </w:r>
      <w:r>
        <w:rPr>
          <w:spacing w:val="-2"/>
          <w:sz w:val="24"/>
        </w:rPr>
        <w:t> </w:t>
      </w:r>
      <w:r>
        <w:rPr>
          <w:sz w:val="24"/>
        </w:rPr>
        <w:t>vs.</w:t>
      </w:r>
      <w:r>
        <w:rPr>
          <w:spacing w:val="-2"/>
          <w:sz w:val="24"/>
        </w:rPr>
        <w:t> </w:t>
      </w:r>
      <w:r>
        <w:rPr>
          <w:sz w:val="24"/>
        </w:rPr>
        <w:t>unrelated</w:t>
      </w:r>
      <w:r>
        <w:rPr>
          <w:spacing w:val="-57"/>
          <w:sz w:val="24"/>
        </w:rPr>
        <w:t> </w:t>
      </w:r>
      <w:r>
        <w:rPr>
          <w:sz w:val="24"/>
        </w:rPr>
        <w:t>allogeneic stem cell transplantation for acute lymphoblastic leukemia in first</w:t>
      </w:r>
      <w:r>
        <w:rPr>
          <w:spacing w:val="1"/>
          <w:sz w:val="24"/>
        </w:rPr>
        <w:t> </w:t>
      </w:r>
      <w:r>
        <w:rPr>
          <w:sz w:val="24"/>
        </w:rPr>
        <w:t>complete remission: on behalf of the ALWP of the EBMT. Leukemia.</w:t>
      </w:r>
      <w:r>
        <w:rPr>
          <w:spacing w:val="1"/>
          <w:sz w:val="24"/>
        </w:rPr>
        <w:t> </w:t>
      </w:r>
      <w:r>
        <w:rPr>
          <w:sz w:val="24"/>
        </w:rPr>
        <w:t>2020;34(1):283–92.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650" w:hanging="640"/>
        <w:jc w:val="left"/>
        <w:rPr>
          <w:sz w:val="24"/>
        </w:rPr>
      </w:pPr>
      <w:r>
        <w:rPr>
          <w:sz w:val="24"/>
        </w:rPr>
        <w:t>Muffly L, Li Q, Alvarez E, Kahn J. Hematopoietic Cell Transplantation in Young</w:t>
      </w:r>
      <w:r>
        <w:rPr>
          <w:spacing w:val="1"/>
          <w:sz w:val="24"/>
        </w:rPr>
        <w:t> </w:t>
      </w:r>
      <w:r>
        <w:rPr>
          <w:sz w:val="24"/>
        </w:rPr>
        <w:t>Adult Acute Lymphoblastic Leukemia: A United States Population-Level Analysis. J</w:t>
      </w:r>
      <w:r>
        <w:rPr>
          <w:spacing w:val="-57"/>
          <w:sz w:val="24"/>
        </w:rPr>
        <w:t> </w:t>
      </w:r>
      <w:r>
        <w:rPr>
          <w:sz w:val="24"/>
        </w:rPr>
        <w:t>Adolesc Young Adult Oncol. 2019;8(3):254–61.</w:t>
      </w:r>
    </w:p>
    <w:p>
      <w:pPr>
        <w:pStyle w:val="ListParagraph"/>
        <w:numPr>
          <w:ilvl w:val="0"/>
          <w:numId w:val="28"/>
        </w:numPr>
        <w:tabs>
          <w:tab w:pos="1188" w:val="left" w:leader="none"/>
          <w:tab w:pos="1189" w:val="left" w:leader="none"/>
        </w:tabs>
        <w:spacing w:line="480" w:lineRule="auto" w:before="161" w:after="0"/>
        <w:ind w:left="1189" w:right="758" w:hanging="709"/>
        <w:jc w:val="left"/>
        <w:rPr>
          <w:sz w:val="24"/>
        </w:rPr>
      </w:pPr>
      <w:r>
        <w:rPr>
          <w:sz w:val="24"/>
        </w:rPr>
        <w:t>Centre for international blood and marrow transplant research. The US Summary</w:t>
      </w:r>
      <w:r>
        <w:rPr>
          <w:spacing w:val="1"/>
          <w:sz w:val="24"/>
        </w:rPr>
        <w:t> </w:t>
      </w:r>
      <w:r>
        <w:rPr>
          <w:sz w:val="24"/>
        </w:rPr>
        <w:t>Slides - HCT Trends and Survival Data [Internet]. 2020. Available from: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https://</w:t>
      </w:r>
      <w:hyperlink r:id="rId38">
        <w:r>
          <w:rPr>
            <w:spacing w:val="-1"/>
            <w:sz w:val="24"/>
          </w:rPr>
          <w:t>www.cibmtr.org/ReferenceCenter/SlidesReports/SummarySlides/pages/inde</w:t>
        </w:r>
      </w:hyperlink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756" w:footer="0" w:top="1300" w:bottom="280" w:left="1220" w:right="1060"/>
        </w:sectPr>
      </w:pPr>
    </w:p>
    <w:p>
      <w:pPr>
        <w:pStyle w:val="BodyText"/>
        <w:spacing w:before="100"/>
        <w:ind w:left="1189"/>
      </w:pPr>
      <w:r>
        <w:rPr/>
        <w:t>x.aspx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0" w:after="0"/>
        <w:ind w:left="1120" w:right="1473" w:hanging="640"/>
        <w:jc w:val="left"/>
        <w:rPr>
          <w:sz w:val="24"/>
        </w:rPr>
      </w:pPr>
      <w:r>
        <w:rPr>
          <w:sz w:val="24"/>
        </w:rPr>
        <w:t>Jabbour E, O´Brien S, Konopleva M, Kantarjian H. New insights into the</w:t>
      </w:r>
      <w:r>
        <w:rPr>
          <w:spacing w:val="1"/>
          <w:sz w:val="24"/>
        </w:rPr>
        <w:t> </w:t>
      </w:r>
      <w:r>
        <w:rPr>
          <w:sz w:val="24"/>
        </w:rPr>
        <w:t>pathophysiology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therapy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lymphoblastic</w:t>
      </w:r>
      <w:r>
        <w:rPr>
          <w:spacing w:val="-5"/>
          <w:sz w:val="24"/>
        </w:rPr>
        <w:t> </w:t>
      </w:r>
      <w:r>
        <w:rPr>
          <w:sz w:val="24"/>
        </w:rPr>
        <w:t>leukemia.</w:t>
      </w:r>
      <w:r>
        <w:rPr>
          <w:spacing w:val="-2"/>
          <w:sz w:val="24"/>
        </w:rPr>
        <w:t> </w:t>
      </w:r>
      <w:r>
        <w:rPr>
          <w:sz w:val="24"/>
        </w:rPr>
        <w:t>Cancer.</w:t>
      </w:r>
      <w:r>
        <w:rPr>
          <w:spacing w:val="-57"/>
          <w:sz w:val="24"/>
        </w:rPr>
        <w:t> </w:t>
      </w:r>
      <w:r>
        <w:rPr>
          <w:sz w:val="24"/>
        </w:rPr>
        <w:t>2015;121:2517–28.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240" w:lineRule="auto" w:before="161" w:after="0"/>
        <w:ind w:left="1120" w:right="0" w:hanging="641"/>
        <w:jc w:val="left"/>
        <w:rPr>
          <w:sz w:val="24"/>
        </w:rPr>
      </w:pPr>
      <w:r>
        <w:rPr>
          <w:sz w:val="24"/>
        </w:rPr>
        <w:t>Bassan</w:t>
      </w:r>
      <w:r>
        <w:rPr>
          <w:spacing w:val="-2"/>
          <w:sz w:val="24"/>
        </w:rPr>
        <w:t> </w:t>
      </w:r>
      <w:r>
        <w:rPr>
          <w:sz w:val="24"/>
        </w:rPr>
        <w:t>R,</w:t>
      </w:r>
      <w:r>
        <w:rPr>
          <w:spacing w:val="-1"/>
          <w:sz w:val="24"/>
        </w:rPr>
        <w:t> </w:t>
      </w:r>
      <w:r>
        <w:rPr>
          <w:sz w:val="24"/>
        </w:rPr>
        <w:t>Hoelzer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Modern</w:t>
      </w:r>
      <w:r>
        <w:rPr>
          <w:spacing w:val="-2"/>
          <w:sz w:val="24"/>
        </w:rPr>
        <w:t> </w:t>
      </w:r>
      <w:r>
        <w:rPr>
          <w:sz w:val="24"/>
        </w:rPr>
        <w:t>therapy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acute</w:t>
      </w:r>
      <w:r>
        <w:rPr>
          <w:spacing w:val="-5"/>
          <w:sz w:val="24"/>
        </w:rPr>
        <w:t> </w:t>
      </w:r>
      <w:r>
        <w:rPr>
          <w:sz w:val="24"/>
        </w:rPr>
        <w:t>lymphoblastic</w:t>
      </w:r>
      <w:r>
        <w:rPr>
          <w:spacing w:val="-4"/>
          <w:sz w:val="24"/>
        </w:rPr>
        <w:t> </w:t>
      </w:r>
      <w:r>
        <w:rPr>
          <w:sz w:val="24"/>
        </w:rPr>
        <w:t>leukemia.</w:t>
      </w:r>
      <w:r>
        <w:rPr>
          <w:spacing w:val="-1"/>
          <w:sz w:val="24"/>
        </w:rPr>
        <w:t> </w:t>
      </w:r>
      <w:r>
        <w:rPr>
          <w:sz w:val="24"/>
        </w:rPr>
        <w:t>Clin</w:t>
      </w:r>
      <w:r>
        <w:rPr>
          <w:spacing w:val="-2"/>
          <w:sz w:val="24"/>
        </w:rPr>
        <w:t> </w:t>
      </w:r>
      <w:r>
        <w:rPr>
          <w:sz w:val="24"/>
        </w:rPr>
        <w:t>Oncol.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20"/>
      </w:pPr>
      <w:r>
        <w:rPr/>
        <w:t>2011;20:532–43.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0" w:after="0"/>
        <w:ind w:left="1120" w:right="1061" w:hanging="640"/>
        <w:jc w:val="left"/>
        <w:rPr>
          <w:sz w:val="24"/>
        </w:rPr>
      </w:pPr>
      <w:r>
        <w:rPr>
          <w:sz w:val="24"/>
        </w:rPr>
        <w:t>Herrera-Garza J, Gutiérrez-Aguirre H, Marfil-Rivera L, Gómez-Almaguer D.</w:t>
      </w:r>
      <w:r>
        <w:rPr>
          <w:spacing w:val="1"/>
          <w:sz w:val="24"/>
        </w:rPr>
        <w:t> </w:t>
      </w:r>
      <w:r>
        <w:rPr>
          <w:sz w:val="24"/>
        </w:rPr>
        <w:t>Survival Rates of Adults With Acute Lymphoblastic Leukemia in a Low-Income</w:t>
      </w:r>
      <w:r>
        <w:rPr>
          <w:spacing w:val="-57"/>
          <w:sz w:val="24"/>
        </w:rPr>
        <w:t> </w:t>
      </w:r>
      <w:r>
        <w:rPr>
          <w:sz w:val="24"/>
        </w:rPr>
        <w:t>Population: A Decade of Experience at a Single Institution in Mexico. Myeloma</w:t>
      </w:r>
      <w:r>
        <w:rPr>
          <w:spacing w:val="1"/>
          <w:sz w:val="24"/>
        </w:rPr>
        <w:t> </w:t>
      </w:r>
      <w:r>
        <w:rPr>
          <w:sz w:val="24"/>
        </w:rPr>
        <w:t>Leuk. 2017;17(1):60–8.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980" w:hanging="640"/>
        <w:jc w:val="left"/>
        <w:rPr>
          <w:sz w:val="24"/>
        </w:rPr>
      </w:pPr>
      <w:r>
        <w:rPr>
          <w:sz w:val="24"/>
        </w:rPr>
        <w:t>Stock W, et al. A pediatric regimen for older adolescents and young adults with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-4"/>
          <w:sz w:val="24"/>
        </w:rPr>
        <w:t> </w:t>
      </w:r>
      <w:r>
        <w:rPr>
          <w:sz w:val="24"/>
        </w:rPr>
        <w:t>lymphoblastic</w:t>
      </w:r>
      <w:r>
        <w:rPr>
          <w:spacing w:val="-4"/>
          <w:sz w:val="24"/>
        </w:rPr>
        <w:t> </w:t>
      </w:r>
      <w:r>
        <w:rPr>
          <w:sz w:val="24"/>
        </w:rPr>
        <w:t>leukemia: results</w:t>
      </w:r>
      <w:r>
        <w:rPr>
          <w:spacing w:val="-3"/>
          <w:sz w:val="24"/>
        </w:rPr>
        <w:t> </w:t>
      </w:r>
      <w:r>
        <w:rPr>
          <w:sz w:val="24"/>
        </w:rPr>
        <w:t>of CALGB.</w:t>
      </w:r>
      <w:r>
        <w:rPr>
          <w:spacing w:val="-1"/>
          <w:sz w:val="24"/>
        </w:rPr>
        <w:t> </w:t>
      </w:r>
      <w:r>
        <w:rPr>
          <w:sz w:val="24"/>
        </w:rPr>
        <w:t>Blood. 2019;133(14):1548–59.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732" w:hanging="640"/>
        <w:jc w:val="left"/>
        <w:rPr>
          <w:sz w:val="24"/>
        </w:rPr>
      </w:pPr>
      <w:r>
        <w:rPr>
          <w:sz w:val="24"/>
        </w:rPr>
        <w:t>Siegel</w:t>
      </w:r>
      <w:r>
        <w:rPr>
          <w:spacing w:val="-3"/>
          <w:sz w:val="24"/>
        </w:rPr>
        <w:t> </w:t>
      </w:r>
      <w:r>
        <w:rPr>
          <w:sz w:val="24"/>
        </w:rPr>
        <w:t>S,</w:t>
      </w:r>
      <w:r>
        <w:rPr>
          <w:spacing w:val="-3"/>
          <w:sz w:val="24"/>
        </w:rPr>
        <w:t> </w:t>
      </w:r>
      <w:r>
        <w:rPr>
          <w:sz w:val="24"/>
        </w:rPr>
        <w:t>Stock</w:t>
      </w:r>
      <w:r>
        <w:rPr>
          <w:spacing w:val="-3"/>
          <w:sz w:val="24"/>
        </w:rPr>
        <w:t> </w:t>
      </w:r>
      <w:r>
        <w:rPr>
          <w:sz w:val="24"/>
        </w:rPr>
        <w:t>W,</w:t>
      </w:r>
      <w:r>
        <w:rPr>
          <w:spacing w:val="-3"/>
          <w:sz w:val="24"/>
        </w:rPr>
        <w:t> </w:t>
      </w:r>
      <w:r>
        <w:rPr>
          <w:sz w:val="24"/>
        </w:rPr>
        <w:t>Johnson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3"/>
          <w:sz w:val="24"/>
        </w:rPr>
        <w:t> </w:t>
      </w:r>
      <w:r>
        <w:rPr>
          <w:sz w:val="24"/>
        </w:rPr>
        <w:t>Pediatric-inspired</w:t>
      </w:r>
      <w:r>
        <w:rPr>
          <w:spacing w:val="-3"/>
          <w:sz w:val="24"/>
        </w:rPr>
        <w:t> </w:t>
      </w:r>
      <w:r>
        <w:rPr>
          <w:sz w:val="24"/>
        </w:rPr>
        <w:t>treatment</w:t>
      </w:r>
      <w:r>
        <w:rPr>
          <w:spacing w:val="-3"/>
          <w:sz w:val="24"/>
        </w:rPr>
        <w:t> </w:t>
      </w:r>
      <w:r>
        <w:rPr>
          <w:sz w:val="24"/>
        </w:rPr>
        <w:t>regimens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adolescents</w:t>
      </w:r>
      <w:r>
        <w:rPr>
          <w:spacing w:val="-57"/>
          <w:sz w:val="24"/>
        </w:rPr>
        <w:t> </w:t>
      </w:r>
      <w:r>
        <w:rPr>
          <w:sz w:val="24"/>
        </w:rPr>
        <w:t>and young adults with Philadelphia chromosomeenegative acute lymphoblastic</w:t>
      </w:r>
      <w:r>
        <w:rPr>
          <w:spacing w:val="1"/>
          <w:sz w:val="24"/>
        </w:rPr>
        <w:t> </w:t>
      </w:r>
      <w:r>
        <w:rPr>
          <w:sz w:val="24"/>
        </w:rPr>
        <w:t>leukemia: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review. JAMA</w:t>
      </w:r>
      <w:r>
        <w:rPr>
          <w:spacing w:val="-2"/>
          <w:sz w:val="24"/>
        </w:rPr>
        <w:t> </w:t>
      </w:r>
      <w:r>
        <w:rPr>
          <w:sz w:val="24"/>
        </w:rPr>
        <w:t>Oncol. 2018;4:725–34.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0" w:after="0"/>
        <w:ind w:left="1120" w:right="784" w:hanging="640"/>
        <w:jc w:val="left"/>
        <w:rPr>
          <w:sz w:val="24"/>
        </w:rPr>
      </w:pPr>
      <w:r>
        <w:rPr>
          <w:sz w:val="24"/>
        </w:rPr>
        <w:t>Jastaniah W. Improving survival outcomes of childhood acute lymphoblastic</w:t>
      </w:r>
      <w:r>
        <w:rPr>
          <w:spacing w:val="1"/>
          <w:sz w:val="24"/>
        </w:rPr>
        <w:t> </w:t>
      </w:r>
      <w:r>
        <w:rPr>
          <w:sz w:val="24"/>
        </w:rPr>
        <w:t>leukemia: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25-year</w:t>
      </w:r>
      <w:r>
        <w:rPr>
          <w:spacing w:val="-2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Saudi</w:t>
      </w:r>
      <w:r>
        <w:rPr>
          <w:spacing w:val="-2"/>
          <w:sz w:val="24"/>
        </w:rPr>
        <w:t> </w:t>
      </w:r>
      <w:r>
        <w:rPr>
          <w:sz w:val="24"/>
        </w:rPr>
        <w:t>Arabia.</w:t>
      </w:r>
      <w:r>
        <w:rPr>
          <w:spacing w:val="-2"/>
          <w:sz w:val="24"/>
        </w:rPr>
        <w:t> </w:t>
      </w:r>
      <w:r>
        <w:rPr>
          <w:sz w:val="24"/>
        </w:rPr>
        <w:t>Pediatr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57"/>
          <w:sz w:val="24"/>
        </w:rPr>
        <w:t> </w:t>
      </w:r>
      <w:r>
        <w:rPr>
          <w:sz w:val="24"/>
        </w:rPr>
        <w:t>Cancer. 2019;66(11):e27782.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480" w:lineRule="auto" w:before="161" w:after="0"/>
        <w:ind w:left="1120" w:right="680" w:hanging="640"/>
        <w:jc w:val="left"/>
        <w:rPr>
          <w:sz w:val="24"/>
        </w:rPr>
      </w:pPr>
      <w:r>
        <w:rPr>
          <w:sz w:val="24"/>
        </w:rPr>
        <w:t>Bailey</w:t>
      </w:r>
      <w:r>
        <w:rPr>
          <w:spacing w:val="-3"/>
          <w:sz w:val="24"/>
        </w:rPr>
        <w:t> </w:t>
      </w:r>
      <w:r>
        <w:rPr>
          <w:sz w:val="24"/>
        </w:rPr>
        <w:t>C,</w:t>
      </w:r>
      <w:r>
        <w:rPr>
          <w:spacing w:val="-2"/>
          <w:sz w:val="24"/>
        </w:rPr>
        <w:t> </w:t>
      </w:r>
      <w:r>
        <w:rPr>
          <w:sz w:val="24"/>
        </w:rPr>
        <w:t>Richardson</w:t>
      </w:r>
      <w:r>
        <w:rPr>
          <w:spacing w:val="-2"/>
          <w:sz w:val="24"/>
        </w:rPr>
        <w:t> </w:t>
      </w:r>
      <w:r>
        <w:rPr>
          <w:sz w:val="24"/>
        </w:rPr>
        <w:t>L,</w:t>
      </w:r>
      <w:r>
        <w:rPr>
          <w:spacing w:val="-2"/>
          <w:sz w:val="24"/>
        </w:rPr>
        <w:t> </w:t>
      </w:r>
      <w:r>
        <w:rPr>
          <w:sz w:val="24"/>
        </w:rPr>
        <w:t>Allemani</w:t>
      </w:r>
      <w:r>
        <w:rPr>
          <w:spacing w:val="-3"/>
          <w:sz w:val="24"/>
        </w:rPr>
        <w:t> </w:t>
      </w:r>
      <w:r>
        <w:rPr>
          <w:sz w:val="24"/>
        </w:rPr>
        <w:t>C,</w:t>
      </w:r>
      <w:r>
        <w:rPr>
          <w:spacing w:val="-2"/>
          <w:sz w:val="24"/>
        </w:rPr>
        <w:t> </w:t>
      </w:r>
      <w:r>
        <w:rPr>
          <w:sz w:val="24"/>
        </w:rPr>
        <w:t>Bonaventure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Adult</w:t>
      </w:r>
      <w:r>
        <w:rPr>
          <w:spacing w:val="-6"/>
          <w:sz w:val="24"/>
        </w:rPr>
        <w:t> </w:t>
      </w:r>
      <w:r>
        <w:rPr>
          <w:sz w:val="24"/>
        </w:rPr>
        <w:t>leukemia</w:t>
      </w:r>
      <w:r>
        <w:rPr>
          <w:spacing w:val="-2"/>
          <w:sz w:val="24"/>
        </w:rPr>
        <w:t> </w:t>
      </w:r>
      <w:r>
        <w:rPr>
          <w:sz w:val="24"/>
        </w:rPr>
        <w:t>survival</w:t>
      </w:r>
      <w:r>
        <w:rPr>
          <w:spacing w:val="-6"/>
          <w:sz w:val="24"/>
        </w:rPr>
        <w:t> </w:t>
      </w:r>
      <w:r>
        <w:rPr>
          <w:sz w:val="24"/>
        </w:rPr>
        <w:t>trends</w:t>
      </w:r>
      <w:r>
        <w:rPr>
          <w:spacing w:val="-57"/>
          <w:sz w:val="24"/>
        </w:rPr>
        <w:t> </w:t>
      </w:r>
      <w:r>
        <w:rPr>
          <w:sz w:val="24"/>
        </w:rPr>
        <w:t>in the United States by subtype: A population-based registry study of 370,994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3"/>
          <w:sz w:val="24"/>
        </w:rPr>
        <w:t> </w:t>
      </w:r>
      <w:r>
        <w:rPr>
          <w:sz w:val="24"/>
        </w:rPr>
        <w:t>diagnosed during 1995-2009. Cancer. 2018;124(19):3856–67.</w:t>
      </w:r>
    </w:p>
    <w:sectPr>
      <w:pgSz w:w="12240" w:h="15840"/>
      <w:pgMar w:header="756" w:footer="0" w:top="1300" w:bottom="280" w:left="12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9.979980pt;margin-top:36.799999pt;width:8.1pt;height:14pt;mso-position-horizontal-relative:page;mso-position-vertical-relative:page;z-index:-1764300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224998pt;margin-top:36.799999pt;width:283.95pt;height:14pt;mso-position-horizontal-relative:page;mso-position-vertical-relative:page;z-index:-1764249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150024pt;margin-top:36.799999pt;width:18.150pt;height:14pt;mso-position-horizontal-relative:page;mso-position-vertical-relative:page;z-index:-1764198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.224998pt;margin-top:36.799999pt;width:283.95pt;height:14pt;mso-position-horizontal-relative:page;mso-position-vertical-relative:page;z-index:-1764147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169983pt;margin-top:36.799999pt;width:8.1pt;height:14pt;mso-position-horizontal-relative:page;mso-position-vertical-relative:page;z-index:-1764096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.224998pt;margin-top:36.799999pt;width:283.95pt;height:14pt;mso-position-horizontal-relative:page;mso-position-vertical-relative:page;z-index:-1764044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169983pt;margin-top:36.799999pt;width:12.1pt;height:14pt;mso-position-horizontal-relative:page;mso-position-vertical-relative:page;z-index:-1763993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.224998pt;margin-top:36.799999pt;width:283.95pt;height:14pt;mso-position-horizontal-relative:page;mso-position-vertical-relative:page;z-index:-1763942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169983pt;margin-top:36.799999pt;width:8.1pt;height:14pt;mso-position-horizontal-relative:page;mso-position-vertical-relative:page;z-index:-1763891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.224998pt;margin-top:36.799999pt;width:283.95pt;height:14pt;mso-position-horizontal-relative:page;mso-position-vertical-relative:page;z-index:-1763840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169983pt;margin-top:36.799999pt;width:12.1pt;height:14pt;mso-position-horizontal-relative:page;mso-position-vertical-relative:page;z-index:-1763788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224998pt;margin-top:36.799999pt;width:283.95pt;height:14pt;mso-position-horizontal-relative:page;mso-position-vertical-relative:page;z-index:-1763737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150024pt;margin-top:36.799999pt;width:18.150pt;height:14pt;mso-position-horizontal-relative:page;mso-position-vertical-relative:page;z-index:-1763686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.224998pt;margin-top:36.799999pt;width:283.95pt;height:14pt;mso-position-horizontal-relative:page;mso-position-vertical-relative:page;z-index:-1763635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Caracterización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epidemiológica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LLA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FOSCAL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2013-2020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169983pt;margin-top:36.799999pt;width:12.1pt;height:14pt;mso-position-horizontal-relative:page;mso-position-vertical-relative:page;z-index:-1763584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1120" w:hanging="6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0" w:hanging="6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3" w:hanging="6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6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6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3" w:hanging="6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6" w:hanging="6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0" w:hanging="6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3" w:hanging="64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4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5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4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5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5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."/>
      <w:lvlJc w:val="left"/>
      <w:pPr>
        <w:ind w:left="4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5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3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3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3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3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decimal"/>
      <w:lvlText w:val="%1."/>
      <w:lvlJc w:val="left"/>
      <w:pPr>
        <w:ind w:left="90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6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87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5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5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64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7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14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2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69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7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24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1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79" w:hanging="18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8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5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8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5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01" w:hanging="7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8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4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56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2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8" w:hanging="72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84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●"/>
      <w:lvlJc w:val="left"/>
      <w:pPr>
        <w:ind w:left="1201" w:hanging="361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9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4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3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4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6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0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7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5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8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361" w:hanging="6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61" w:hanging="641"/>
        <w:jc w:val="left"/>
      </w:pPr>
      <w:rPr>
        <w:rFonts w:hint="default"/>
        <w:spacing w:val="-2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0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0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0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0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0" w:hanging="6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20" w:hanging="44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8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1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3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0" w:hanging="360"/>
      </w:pPr>
      <w:rPr>
        <w:rFonts w:hint="default"/>
        <w:lang w:val="es-E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99"/>
      <w:ind w:left="920" w:hanging="44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99"/>
      <w:ind w:left="1141" w:hanging="42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99"/>
      <w:ind w:left="1361" w:hanging="641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0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120" w:hanging="64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71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hyperlink" Target="http://www.icbf.gov.co/bienestar/nutricion/encuesta-nacional-situacion-" TargetMode="External"/><Relationship Id="rId38" Type="http://schemas.openxmlformats.org/officeDocument/2006/relationships/hyperlink" Target="http://www.cibmtr.org/ReferenceCenter/SlidesReports/SummarySlides/pages/inde" TargetMode="External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terms:created xsi:type="dcterms:W3CDTF">2021-08-18T18:23:23Z</dcterms:created>
  <dcterms:modified xsi:type="dcterms:W3CDTF">2021-08-18T18:23:23Z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2021-08-18T00:00:00Z</vt:filetime>
  </property>
</Properties>
</file>